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210A5">
      <w:pPr>
        <w:widowControl/>
        <w:spacing w:line="560" w:lineRule="exact"/>
        <w:jc w:val="center"/>
        <w:rPr>
          <w:rFonts w:ascii="方正仿宋_GBK" w:hAnsi="方正仿宋_GBK" w:eastAsia="方正仿宋_GBK" w:cs="方正仿宋_GBK"/>
          <w:color w:val="00000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highlight w:val="none"/>
        </w:rPr>
        <w:t>需求清单</w:t>
      </w:r>
    </w:p>
    <w:tbl>
      <w:tblPr>
        <w:tblStyle w:val="2"/>
        <w:tblW w:w="8398" w:type="dxa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168"/>
        <w:gridCol w:w="921"/>
        <w:gridCol w:w="4790"/>
        <w:gridCol w:w="829"/>
      </w:tblGrid>
      <w:tr w14:paraId="2F2E5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D08F3F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  <w:t>序号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C20015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  <w:t>服务名称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F3C285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  <w:t>规格</w:t>
            </w:r>
          </w:p>
        </w:tc>
        <w:tc>
          <w:tcPr>
            <w:tcW w:w="4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BCD802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  <w:t>参数</w:t>
            </w:r>
          </w:p>
        </w:tc>
        <w:tc>
          <w:tcPr>
            <w:tcW w:w="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C5250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2"/>
                <w:highlight w:val="none"/>
              </w:rPr>
              <w:t>预估数量</w:t>
            </w:r>
          </w:p>
        </w:tc>
      </w:tr>
      <w:tr w14:paraId="0309D8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1FF8B1">
            <w:pPr>
              <w:widowControl/>
              <w:spacing w:line="280" w:lineRule="exact"/>
              <w:jc w:val="center"/>
              <w:rPr>
                <w:rFonts w:hint="eastAsia" w:ascii="方正楷体_GBK" w:hAnsi="方正楷体_GBK" w:eastAsia="方正楷体_GBK" w:cs="方正楷体_GBK"/>
                <w:color w:val="000000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</w:rPr>
              <w:t>1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218EBB">
            <w:pPr>
              <w:widowControl/>
              <w:spacing w:line="280" w:lineRule="exact"/>
              <w:jc w:val="center"/>
              <w:textAlignment w:val="center"/>
              <w:rPr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转录组测序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A788C9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例</w:t>
            </w:r>
          </w:p>
        </w:tc>
        <w:tc>
          <w:tcPr>
            <w:tcW w:w="4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EAFE6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一、样本类型：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外周全血</w:t>
            </w:r>
          </w:p>
          <w:p w14:paraId="2F06B57C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二、服务内容：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样本的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转运、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RNA提取、质控、文库构建、上机测序</w:t>
            </w:r>
          </w:p>
          <w:p w14:paraId="73E1485D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三、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交付形式:所有原始数据、分析结果、可视化图表及分析报告。</w:t>
            </w:r>
          </w:p>
          <w:p w14:paraId="65202200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四、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技术服务详细要求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</w:p>
          <w:p w14:paraId="221F965E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1.总RNA提取与质控:使用经认证的去球蛋白RNA提取试剂盒。提供每个样本的RNA质量评估报告，包括但不限于：浓度、纯度（OD260/280）、完整性（RIN值）、电泳图。要求所有样本RIN值 ≥ 7.0。</w:t>
            </w:r>
          </w:p>
          <w:p w14:paraId="3F144C9E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2.文库构建与测序:</w:t>
            </w:r>
          </w:p>
          <w:p w14:paraId="0FC2DF35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建库方案: 使用poly(A)富集法进行mRNA建库。</w:t>
            </w:r>
          </w:p>
          <w:p w14:paraId="36B7A788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测序平台: Illumina NovaSeq 6000或其他同等性能平台。</w:t>
            </w:r>
          </w:p>
          <w:p w14:paraId="46526C80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测序模式:PE150 (双端150bp)</w:t>
            </w:r>
          </w:p>
          <w:p w14:paraId="22D8BA7A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数据量:每样本有效测序数据量 ≥ 50 million raw reads。</w:t>
            </w:r>
          </w:p>
        </w:tc>
        <w:tc>
          <w:tcPr>
            <w:tcW w:w="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21B2B9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6</w:t>
            </w:r>
          </w:p>
        </w:tc>
      </w:tr>
      <w:tr w14:paraId="0EC86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84B486">
            <w:pPr>
              <w:widowControl/>
              <w:spacing w:line="280" w:lineRule="exact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</w:rPr>
              <w:t>2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A64578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sz w:val="22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22"/>
                <w:highlight w:val="none"/>
              </w:rPr>
              <w:t>细胞测序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FE32A0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例</w:t>
            </w:r>
          </w:p>
        </w:tc>
        <w:tc>
          <w:tcPr>
            <w:tcW w:w="4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5C1D9C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一、样本类型：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外周全血</w:t>
            </w:r>
          </w:p>
          <w:p w14:paraId="41B330D3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二、服务内容： 样本的转运、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悬液制备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活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性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检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测、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捕获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与标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签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（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barcoding）、cDNA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转录与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扩增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、文库构建、上机测序。</w:t>
            </w:r>
          </w:p>
          <w:p w14:paraId="4DDE8BD3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三、交付形式：所有原始数据、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分析结果、可视化图表及分析报告。</w:t>
            </w:r>
          </w:p>
          <w:p w14:paraId="6821CF1F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四、技术服务详细要求：</w:t>
            </w:r>
          </w:p>
          <w:p w14:paraId="4D1BE8D6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悬液制备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与质控：</w:t>
            </w:r>
          </w:p>
          <w:p w14:paraId="3BAA4083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提供每个样本的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悬液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质量评估报告，包括但不限于：细胞总数、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活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率（台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盼蓝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或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AO/PI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染色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）、结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率、细胞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直径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分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布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图。</w:t>
            </w:r>
          </w:p>
          <w:p w14:paraId="7A8FF379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要求所有样本细胞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活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率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 xml:space="preserve"> ≥ 85%，结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率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 xml:space="preserve"> </w:t>
            </w:r>
            <w:r>
              <w:rPr>
                <w:rFonts w:ascii="仿宋" w:hAnsi="仿宋" w:eastAsia="仿宋" w:cs="Cambria Math"/>
                <w:color w:val="000000"/>
                <w:sz w:val="16"/>
                <w:szCs w:val="16"/>
                <w:highlight w:val="none"/>
              </w:rPr>
              <w:t>≤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 xml:space="preserve"> 5%，细胞总数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满足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下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游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平台上机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需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求</w:t>
            </w:r>
          </w:p>
          <w:p w14:paraId="7477E053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文库构建与测序：</w:t>
            </w:r>
          </w:p>
          <w:p w14:paraId="36D16DC1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 xml:space="preserve">建库方案： 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采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用基于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微滴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或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微孔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的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3</w:t>
            </w:r>
            <w:r>
              <w:rPr>
                <w:rFonts w:ascii="仿宋" w:hAnsi="仿宋" w:eastAsia="仿宋"/>
                <w:color w:val="000000"/>
                <w:sz w:val="16"/>
                <w:szCs w:val="16"/>
                <w:highlight w:val="none"/>
              </w:rPr>
              <w:t>‘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端或5</w:t>
            </w:r>
            <w:r>
              <w:rPr>
                <w:rFonts w:ascii="仿宋" w:hAnsi="仿宋" w:eastAsia="仿宋"/>
                <w:color w:val="000000"/>
                <w:sz w:val="16"/>
                <w:szCs w:val="16"/>
                <w:highlight w:val="none"/>
              </w:rPr>
              <w:t>’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端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细胞转录组建库方案（如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10x Genomics Chromium Next GEM Single Cell 3' v3.1或同等性能方案）。</w:t>
            </w:r>
          </w:p>
          <w:p w14:paraId="40368439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 xml:space="preserve">测序平台：10x Genomics平台 / GEXSCOPE平台 + 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华大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测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序</w:t>
            </w:r>
          </w:p>
          <w:p w14:paraId="4CB4A303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测序模式： PE150（双端150 bp），其中Read 1包含细胞标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签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（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barcode）和唯一分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子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标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识符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（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UMI），Read 2包含转录本序列。</w:t>
            </w:r>
          </w:p>
          <w:p w14:paraId="218F1F56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数据量要求：</w:t>
            </w:r>
          </w:p>
          <w:p w14:paraId="135A8E76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每样本有效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捕获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细胞数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 xml:space="preserve"> ≥ 5,000个。</w:t>
            </w:r>
          </w:p>
          <w:p w14:paraId="412E4447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测序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饱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和度建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议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在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40-70%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之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间。</w:t>
            </w:r>
          </w:p>
          <w:p w14:paraId="5007026D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每细胞中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位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数基因数（</w:t>
            </w:r>
            <w:r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Median genes per cell） ≥ 1,000（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针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对外周血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单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个核细胞）。</w:t>
            </w:r>
          </w:p>
        </w:tc>
        <w:tc>
          <w:tcPr>
            <w:tcW w:w="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C76D20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2</w:t>
            </w:r>
          </w:p>
        </w:tc>
      </w:tr>
      <w:tr w14:paraId="7CD70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E1D51">
            <w:pPr>
              <w:widowControl/>
              <w:spacing w:line="280" w:lineRule="exact"/>
              <w:jc w:val="center"/>
              <w:rPr>
                <w:rFonts w:hint="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</w:rPr>
              <w:t>3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BD12BA">
            <w:pPr>
              <w:widowControl/>
              <w:spacing w:line="28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highlight w:val="none"/>
              </w:rPr>
            </w:pPr>
            <w:r>
              <w:rPr>
                <w:rFonts w:ascii="仿宋" w:hAnsi="仿宋" w:eastAsia="仿宋" w:cs="宋体"/>
                <w:color w:val="000000"/>
                <w:sz w:val="22"/>
                <w:highlight w:val="none"/>
              </w:rPr>
              <w:t>LC-MS/MS代谢组学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5F7003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例</w:t>
            </w:r>
          </w:p>
        </w:tc>
        <w:tc>
          <w:tcPr>
            <w:tcW w:w="4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877F1C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一、样本类型：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待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测生物样本（如血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清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、血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、组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织匀浆液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等，具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体根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据项目定）</w:t>
            </w:r>
          </w:p>
          <w:p w14:paraId="0AA32641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二、服务内容：样本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前处理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、同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位素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内标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加入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LC-MS/MS上机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检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测、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峰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对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齐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与归一化、质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谱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数据库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搜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库、定性定量分析。</w:t>
            </w:r>
          </w:p>
          <w:p w14:paraId="51E90879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三、交付形式：原始质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谱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数据文件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、数据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预处理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报告、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靶向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代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物定量结果表（含浓度、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保留时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间、信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噪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比等）、质控（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QC）样本报告及方法学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验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证数据。</w:t>
            </w:r>
          </w:p>
          <w:p w14:paraId="496F2BCC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四、技术服务详细要求：</w:t>
            </w:r>
          </w:p>
          <w:p w14:paraId="5B52D4C1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LC-MS/MS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靶向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代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组学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检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测：</w:t>
            </w:r>
          </w:p>
          <w:p w14:paraId="1D2CF178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检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测平台：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使用Agilent或Thermo Q-Exactive系列（或同等性能）LC-MS/MS系统。</w:t>
            </w:r>
          </w:p>
          <w:p w14:paraId="1ADD04DD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定量方法：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采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用同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位素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内标法定量，要求每个目标代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物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均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有对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应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或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合适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的内标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校正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，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实现靶向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代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物的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精确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定量分析。</w:t>
            </w:r>
          </w:p>
          <w:p w14:paraId="0D935972">
            <w:pPr>
              <w:widowControl/>
              <w:spacing w:line="280" w:lineRule="exact"/>
              <w:jc w:val="left"/>
              <w:textAlignment w:val="center"/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数据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预处理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：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包含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峰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对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齐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、归一化、平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滑处理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及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缺失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值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填充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（如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KNN或最小二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乘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法）。</w:t>
            </w:r>
          </w:p>
          <w:p w14:paraId="661ABEE5">
            <w:pPr>
              <w:widowControl/>
              <w:spacing w:line="280" w:lineRule="exact"/>
              <w:jc w:val="left"/>
              <w:textAlignment w:val="center"/>
              <w:rPr>
                <w:rFonts w:hint="eastAsia" w:ascii="仿宋" w:hAnsi="仿宋" w:eastAsia="仿宋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定性定量：基于标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准品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建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立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的质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谱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数据库进行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搜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库比对，提供代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谢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物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名称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保留时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间、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母离子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/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子离子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对（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MRM/PRM参数）、线性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范围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、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检出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限（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LOD）、定量限（LOQ）及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准确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度</w:t>
            </w:r>
            <w:r>
              <w:rPr>
                <w:rFonts w:ascii="仿宋" w:hAnsi="仿宋" w:eastAsia="仿宋" w:cs="方正仿宋_GB2312"/>
                <w:color w:val="000000"/>
                <w:sz w:val="16"/>
                <w:szCs w:val="16"/>
                <w:highlight w:val="none"/>
              </w:rPr>
              <w:t>/</w:t>
            </w:r>
            <w:r>
              <w:rPr>
                <w:rFonts w:hint="eastAsia" w:ascii="仿宋" w:hAnsi="仿宋" w:eastAsia="仿宋" w:cs="宋体"/>
                <w:color w:val="000000"/>
                <w:sz w:val="16"/>
                <w:szCs w:val="16"/>
                <w:highlight w:val="none"/>
              </w:rPr>
              <w:t>精密</w:t>
            </w:r>
            <w:r>
              <w:rPr>
                <w:rFonts w:hint="eastAsia" w:ascii="仿宋" w:hAnsi="仿宋" w:eastAsia="仿宋" w:cs="___WRD_EMBED_SUB_52"/>
                <w:color w:val="000000"/>
                <w:sz w:val="16"/>
                <w:szCs w:val="16"/>
                <w:highlight w:val="none"/>
              </w:rPr>
              <w:t>度数据。</w:t>
            </w:r>
          </w:p>
        </w:tc>
        <w:tc>
          <w:tcPr>
            <w:tcW w:w="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F0BE08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6</w:t>
            </w:r>
          </w:p>
        </w:tc>
      </w:tr>
      <w:tr w14:paraId="3D3C8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C3B59D">
            <w:pPr>
              <w:widowControl/>
              <w:spacing w:line="280" w:lineRule="exact"/>
              <w:jc w:val="center"/>
              <w:rPr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/>
                <w:color w:val="000000"/>
                <w:kern w:val="0"/>
                <w:sz w:val="22"/>
                <w:highlight w:val="none"/>
              </w:rPr>
              <w:t>２</w:t>
            </w:r>
          </w:p>
        </w:tc>
        <w:tc>
          <w:tcPr>
            <w:tcW w:w="11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6E46CB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生信分析</w:t>
            </w:r>
          </w:p>
        </w:tc>
        <w:tc>
          <w:tcPr>
            <w:tcW w:w="9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5A3C6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组</w:t>
            </w:r>
          </w:p>
        </w:tc>
        <w:tc>
          <w:tcPr>
            <w:tcW w:w="47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46758C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一、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原始数据质控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</w:p>
          <w:p w14:paraId="337E2D24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FastQC质量评估、Adapter去除、低质量 reads 过滤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，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提供质控总结报告</w:t>
            </w:r>
          </w:p>
          <w:p w14:paraId="373A369E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二、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序列比对与定量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</w:p>
          <w:p w14:paraId="4828E799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使用STAR/Hisat2等软件比对至最新版本人类参考基因组（如GRCh38）。使用featureCounts或HTSeq-count进行基因计数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，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提供比对率、唯一比对率等统计结果</w:t>
            </w:r>
          </w:p>
          <w:p w14:paraId="09BB3DB2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三、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差异表达分析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使用R包进行ILA组 vs 对照组的差异表达基因（DEGs）分析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，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提供DEGs列表（包括log2FC, p-value, adj.p-value）、火山图、热图</w:t>
            </w:r>
          </w:p>
          <w:p w14:paraId="156EEB73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四、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功能富集分析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对显著上/下调的DEGs进行GO功能注释、KEGG通路富集分析、GSEA基因集富集分析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，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重点关注纤维化、免疫炎症、细胞外基质相关通路。提供富集气泡图、条形图</w:t>
            </w:r>
          </w:p>
          <w:p w14:paraId="1266F49B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五、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免疫细胞浸润分析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</w:p>
          <w:p w14:paraId="5A740A42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必须使用CIBERSORTx或类似去卷积工具，量化每个样本中22种免疫细胞亚群的比例</w:t>
            </w:r>
          </w:p>
          <w:p w14:paraId="4DDDE447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比较组间免疫细胞比例差异，并提供箱线图、堆叠图及相关性分析结果</w:t>
            </w:r>
          </w:p>
          <w:p w14:paraId="2282CFAD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六、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机器学习与标志物筛选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</w:p>
          <w:p w14:paraId="186F091E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基于差异表达基因和WGCNA核心基因，使用LASSO回归或随机森林等算法，构建最小基因集诊断模型</w:t>
            </w:r>
          </w:p>
          <w:p w14:paraId="3AD93E2C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提供模型特征基因列表、在训练集上的ROC曲线（AUC值）、模型系数</w:t>
            </w:r>
          </w:p>
          <w:p w14:paraId="546EE04E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七、</w:t>
            </w: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数据交付物要求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：</w:t>
            </w:r>
          </w:p>
          <w:p w14:paraId="545A74F4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1.原始数据:交付FastQ格式的原始测序数据。</w:t>
            </w:r>
          </w:p>
          <w:p w14:paraId="5E3A7992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2.过程数据:基因表达矩阵（counts, TPM, FPKM格式）、差异表达分析结果表格、免疫细胞比例表格等。</w:t>
            </w:r>
          </w:p>
          <w:p w14:paraId="1DAE62AC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3.结果报告:一份完整的中文分析报告（PDF格式），详细描述分析方法、步骤、结果及初步生物学解读，并包含所有高质量的可视化图片（PDF及可编辑格式，如.eps或.svg）。</w:t>
            </w:r>
          </w:p>
          <w:p w14:paraId="445F2C89">
            <w:pPr>
              <w:widowControl/>
              <w:spacing w:line="2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</w:pPr>
            <w:r>
              <w:rPr>
                <w:rFonts w:ascii="方正仿宋_GB2312" w:hAnsi="方正仿宋_GB2312" w:eastAsia="方正仿宋_GB2312" w:cs="方正仿宋_GB2312"/>
                <w:color w:val="000000"/>
                <w:sz w:val="16"/>
                <w:szCs w:val="16"/>
                <w:highlight w:val="none"/>
              </w:rPr>
              <w:t>4.代码:提供本次项目所有的分析脚本（如R/Python代码）。</w:t>
            </w:r>
          </w:p>
        </w:tc>
        <w:tc>
          <w:tcPr>
            <w:tcW w:w="8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7C36CB">
            <w:pPr>
              <w:widowControl/>
              <w:spacing w:line="2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sz w:val="22"/>
                <w:highlight w:val="none"/>
              </w:rPr>
              <w:t>１</w:t>
            </w:r>
          </w:p>
        </w:tc>
      </w:tr>
    </w:tbl>
    <w:p w14:paraId="3239DABA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30E9FC2-53CC-4C0A-95FA-9B07CD0FCE2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3785AA3E-4741-4504-B46A-CF3E02B4C355}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C6D4B86B-9AA5-4B84-ABC8-F32B4DAAB165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4" w:fontKey="{8CB79052-3905-4D3A-BA13-CE181D95038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AE59226-8459-4642-9F62-03486726BDC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052A6747-68EB-496D-9000-34B8D3BE4468}"/>
  </w:font>
  <w:font w:name="___WRD_EMBED_SUB_5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7" w:fontKey="{C38DB384-C80D-4523-B1DF-7CEFB13C6265}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8" w:fontKey="{57456D5D-C62C-4EAE-BB6D-318BC568A64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M4YjQ5Yzg1NGMzZjNkMWJmMTA4NWIzNGEwNjA2ZTEifQ=="/>
  </w:docVars>
  <w:rsids>
    <w:rsidRoot w:val="00000000"/>
    <w:rsid w:val="2AA4141C"/>
    <w:rsid w:val="70DE5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1602</Words>
  <Characters>2003</Characters>
  <Lines>0</Lines>
  <Paragraphs>0</Paragraphs>
  <TotalTime>61</TotalTime>
  <ScaleCrop>false</ScaleCrop>
  <LinksUpToDate>false</LinksUpToDate>
  <CharactersWithSpaces>2054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2026-10-12T01:54:00Z</dcterms:created>
  <dc:creator>Administrator</dc:creator>
  <cp:lastModifiedBy>刘蕊</cp:lastModifiedBy>
  <dcterms:modified xsi:type="dcterms:W3CDTF">2026-10-12T03:11:03Z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80BDD2C814154F9EBBB0B29E17D4159B_13</vt:lpwstr>
  </property>
  <property fmtid="{D5CDD505-2E9C-101B-9397-08002B2CF9AE}" pid="4" name="KSOTemplateDocerSaveRecord">
    <vt:lpwstr>eyJoZGlkIjoiMjg4MDk5YmVlZTZhNzUyMjgwZGFkY2Q3YTgwOGY5OGYiLCJ1c2VySWQiOiIxMDg1NjIzNzAzIn0=</vt:lpwstr>
  </property>
</Properties>
</file>