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F6A00">
      <w:pPr>
        <w:ind w:firstLine="0" w:firstLineChars="0"/>
        <w:jc w:val="center"/>
        <w:rPr>
          <w:rStyle w:val="18"/>
          <w:rFonts w:ascii="Segoe UI" w:hAnsi="Segoe UI" w:cs="Segoe UI"/>
          <w:color w:val="0F1115"/>
          <w:sz w:val="19"/>
          <w:szCs w:val="19"/>
          <w:shd w:val="clear" w:color="auto" w:fill="FFFFFF"/>
        </w:rPr>
      </w:pPr>
      <w:r>
        <w:rPr>
          <w:rFonts w:hint="eastAsia"/>
          <w:b/>
          <w:bCs/>
          <w:sz w:val="40"/>
          <w:szCs w:val="36"/>
        </w:rPr>
        <w:t>智慧医院建设项目（包件1）</w:t>
      </w:r>
      <w:r>
        <w:rPr>
          <w:rFonts w:hint="eastAsia" w:ascii="宋体" w:hAnsi="宋体" w:cs="宋体"/>
          <w:b/>
          <w:color w:val="000000" w:themeColor="text1"/>
          <w:sz w:val="44"/>
          <w:szCs w:val="44"/>
          <w14:textFill>
            <w14:solidFill>
              <w14:schemeClr w14:val="tx1"/>
            </w14:solidFill>
          </w14:textFill>
        </w:rPr>
        <w:t>运维服务需求</w:t>
      </w:r>
    </w:p>
    <w:p w14:paraId="602352F2">
      <w:pPr>
        <w:pStyle w:val="4"/>
        <w:numPr>
          <w:ilvl w:val="1"/>
          <w:numId w:val="0"/>
        </w:numPr>
        <w:ind w:left="425"/>
      </w:pPr>
      <w:r>
        <w:rPr>
          <w:rFonts w:hint="eastAsia"/>
        </w:rPr>
        <w:t>一、</w:t>
      </w:r>
      <w:r>
        <w:t>项目背景</w:t>
      </w:r>
    </w:p>
    <w:p w14:paraId="654BAB97">
      <w:pPr>
        <w:ind w:firstLine="560" w:firstLineChars="200"/>
      </w:pPr>
      <w:r>
        <w:rPr>
          <w:rFonts w:hint="eastAsia"/>
        </w:rPr>
        <w:t>我院与浙江爱达科技有限公司与2021年2月项目完成智慧医院建设采购项目（包件1）合同</w:t>
      </w:r>
      <w:r>
        <w:rPr>
          <w:rFonts w:hint="eastAsia"/>
          <w:lang w:val="en-US" w:eastAsia="zh-CN"/>
        </w:rPr>
        <w:t>签订</w:t>
      </w:r>
      <w:r>
        <w:rPr>
          <w:rFonts w:hint="eastAsia"/>
        </w:rPr>
        <w:t>，</w:t>
      </w:r>
      <w:r>
        <w:rPr>
          <w:rFonts w:hint="eastAsia"/>
          <w:lang w:val="en-US" w:eastAsia="zh-CN"/>
        </w:rPr>
        <w:t>现需采购合同涉及软硬件项目运维服务，具体内容详见附件</w:t>
      </w:r>
      <w:r>
        <w:rPr>
          <w:rFonts w:hint="eastAsia"/>
        </w:rPr>
        <w:t>。</w:t>
      </w:r>
    </w:p>
    <w:p w14:paraId="44C9101E">
      <w:pPr>
        <w:pStyle w:val="4"/>
        <w:numPr>
          <w:ilvl w:val="1"/>
          <w:numId w:val="0"/>
        </w:numPr>
        <w:ind w:left="425"/>
      </w:pPr>
      <w:r>
        <w:rPr>
          <w:rFonts w:hint="eastAsia"/>
        </w:rPr>
        <w:t>二、维保服务需求</w:t>
      </w:r>
    </w:p>
    <w:p w14:paraId="0CD1A1B3">
      <w:pPr>
        <w:ind w:firstLine="560"/>
      </w:pPr>
      <w:r>
        <w:rPr>
          <w:rFonts w:hint="eastAsia"/>
        </w:rPr>
        <w:t>服务商需提供以下服务：</w:t>
      </w:r>
    </w:p>
    <w:p w14:paraId="17B9A8ED">
      <w:pPr>
        <w:ind w:firstLine="560"/>
      </w:pPr>
      <w:r>
        <w:rPr>
          <w:rFonts w:hint="eastAsia"/>
          <w:lang w:eastAsia="zh-CN"/>
        </w:rPr>
        <w:t>（</w:t>
      </w:r>
      <w:r>
        <w:rPr>
          <w:rFonts w:hint="eastAsia"/>
          <w:lang w:val="en-US" w:eastAsia="zh-CN"/>
        </w:rPr>
        <w:t>一</w:t>
      </w:r>
      <w:r>
        <w:rPr>
          <w:rFonts w:hint="eastAsia"/>
          <w:lang w:eastAsia="zh-CN"/>
        </w:rPr>
        <w:t>）</w:t>
      </w:r>
      <w:r>
        <w:rPr>
          <w:rFonts w:hint="eastAsia"/>
        </w:rPr>
        <w:t>安全运维：协助医院对智慧医院项目涉及的产品系统安全、网络安全、信息安全、业务安全等多个层面上严格控制，确保项目内的系统信息无法被窃取与篡改；</w:t>
      </w:r>
    </w:p>
    <w:p w14:paraId="6A545C90">
      <w:pPr>
        <w:ind w:firstLine="560"/>
      </w:pPr>
      <w:r>
        <w:rPr>
          <w:rFonts w:hint="eastAsia"/>
          <w:lang w:eastAsia="zh-CN"/>
        </w:rPr>
        <w:t>（</w:t>
      </w:r>
      <w:r>
        <w:rPr>
          <w:rFonts w:hint="eastAsia"/>
          <w:lang w:val="en-US" w:eastAsia="zh-CN"/>
        </w:rPr>
        <w:t>二</w:t>
      </w:r>
      <w:r>
        <w:rPr>
          <w:rFonts w:hint="eastAsia"/>
          <w:lang w:eastAsia="zh-CN"/>
        </w:rPr>
        <w:t>）</w:t>
      </w:r>
      <w:r>
        <w:rPr>
          <w:rFonts w:hint="eastAsia"/>
        </w:rPr>
        <w:t>系统日常监控：对核心服务器、关键应用进行7x24小时监控，主动发现潜在问题；</w:t>
      </w:r>
    </w:p>
    <w:p w14:paraId="70FF0B2B">
      <w:pPr>
        <w:ind w:firstLine="560"/>
      </w:pPr>
      <w:r>
        <w:rPr>
          <w:rFonts w:hint="eastAsia"/>
          <w:lang w:eastAsia="zh-CN"/>
        </w:rPr>
        <w:t>（</w:t>
      </w:r>
      <w:r>
        <w:rPr>
          <w:rFonts w:hint="eastAsia"/>
          <w:lang w:val="en-US" w:eastAsia="zh-CN"/>
        </w:rPr>
        <w:t>三</w:t>
      </w:r>
      <w:r>
        <w:rPr>
          <w:rFonts w:hint="eastAsia"/>
          <w:lang w:eastAsia="zh-CN"/>
        </w:rPr>
        <w:t>）</w:t>
      </w:r>
      <w:r>
        <w:rPr>
          <w:rFonts w:hint="eastAsia"/>
        </w:rPr>
        <w:t>各软件系统运维：提供持续的软件信息安全补丁更新，解决软件平台的缺陷、bug，保障信息系统运行稳定；确保各系统软件正常使用，对现场系统发生的故障作出判断并解决，对现有功能的BUG修复；</w:t>
      </w:r>
    </w:p>
    <w:p w14:paraId="24823B60">
      <w:pPr>
        <w:ind w:firstLine="560"/>
      </w:pPr>
      <w:r>
        <w:rPr>
          <w:rFonts w:hint="eastAsia"/>
          <w:lang w:eastAsia="zh-CN"/>
        </w:rPr>
        <w:t>（</w:t>
      </w:r>
      <w:r>
        <w:rPr>
          <w:rFonts w:hint="eastAsia"/>
          <w:lang w:val="en-US" w:eastAsia="zh-CN"/>
        </w:rPr>
        <w:t>四</w:t>
      </w:r>
      <w:r>
        <w:rPr>
          <w:rFonts w:hint="eastAsia"/>
          <w:lang w:eastAsia="zh-CN"/>
        </w:rPr>
        <w:t>）</w:t>
      </w:r>
      <w:r>
        <w:rPr>
          <w:rFonts w:hint="eastAsia"/>
        </w:rPr>
        <w:t>各类硬件设备运维：本项服务针对</w:t>
      </w:r>
      <w:r>
        <w:rPr>
          <w:rFonts w:hint="eastAsia"/>
          <w:lang w:val="en-US" w:eastAsia="zh-CN"/>
        </w:rPr>
        <w:t>附件涉及</w:t>
      </w:r>
      <w:r>
        <w:rPr>
          <w:rFonts w:hint="eastAsia"/>
        </w:rPr>
        <w:t>各类硬件设施提供全方位运维保障，服务期间全面承担设备日常管护，状态监测，故障应急处置等工作，设备出现故障须第一时间排查检修，零部件损坏及时更换对应原厂配件；经检修无法修复</w:t>
      </w:r>
      <w:r>
        <w:rPr>
          <w:rFonts w:hint="eastAsia"/>
          <w:lang w:val="en-US" w:eastAsia="zh-CN"/>
        </w:rPr>
        <w:t>或</w:t>
      </w:r>
      <w:r>
        <w:rPr>
          <w:rFonts w:hint="eastAsia"/>
        </w:rPr>
        <w:t>达到使用标准的，需提供同性能设备替代，确保对应硬件设备快速恢复正常运行状态，全力保障</w:t>
      </w:r>
      <w:r>
        <w:rPr>
          <w:rFonts w:hint="eastAsia"/>
          <w:lang w:val="en-US" w:eastAsia="zh-CN"/>
        </w:rPr>
        <w:t>医院</w:t>
      </w:r>
      <w:r>
        <w:rPr>
          <w:rFonts w:hint="eastAsia"/>
        </w:rPr>
        <w:t>业务不间断平稳运转。</w:t>
      </w:r>
    </w:p>
    <w:p w14:paraId="62FAE46E">
      <w:pPr>
        <w:spacing w:line="240" w:lineRule="auto"/>
        <w:ind w:firstLine="560"/>
        <w:jc w:val="left"/>
      </w:pPr>
      <w:r>
        <w:rPr>
          <w:rFonts w:hint="eastAsia"/>
          <w:lang w:eastAsia="zh-CN"/>
        </w:rPr>
        <w:t>（</w:t>
      </w:r>
      <w:r>
        <w:rPr>
          <w:rFonts w:hint="eastAsia"/>
          <w:lang w:val="en-US" w:eastAsia="zh-CN"/>
        </w:rPr>
        <w:t>五</w:t>
      </w:r>
      <w:r>
        <w:rPr>
          <w:rFonts w:hint="eastAsia"/>
          <w:lang w:eastAsia="zh-CN"/>
        </w:rPr>
        <w:t>）</w:t>
      </w:r>
      <w:r>
        <w:rPr>
          <w:rFonts w:hint="eastAsia"/>
        </w:rPr>
        <w:t>维保期内每年可提供上级主管部门要求的政策性接口改造开发服务不超过</w:t>
      </w:r>
      <w:r>
        <w:t>2</w:t>
      </w:r>
      <w:r>
        <w:rPr>
          <w:rFonts w:hint="eastAsia"/>
        </w:rPr>
        <w:t xml:space="preserve">个，费用包含在维保服务费内，不再另行收费。 </w:t>
      </w:r>
    </w:p>
    <w:p w14:paraId="27DD9583">
      <w:pPr>
        <w:ind w:firstLine="560"/>
      </w:pPr>
      <w:r>
        <w:rPr>
          <w:rFonts w:hint="eastAsia"/>
          <w:lang w:eastAsia="zh-CN"/>
        </w:rPr>
        <w:t>（</w:t>
      </w:r>
      <w:r>
        <w:rPr>
          <w:rFonts w:hint="eastAsia"/>
          <w:lang w:val="en-US" w:eastAsia="zh-CN"/>
        </w:rPr>
        <w:t>六</w:t>
      </w:r>
      <w:r>
        <w:rPr>
          <w:rFonts w:hint="eastAsia"/>
          <w:lang w:eastAsia="zh-CN"/>
        </w:rPr>
        <w:t>）</w:t>
      </w:r>
      <w:r>
        <w:rPr>
          <w:rFonts w:hint="eastAsia"/>
        </w:rPr>
        <w:t>定期巡检：每月提供一次全面的系统</w:t>
      </w:r>
      <w:r>
        <w:rPr>
          <w:rFonts w:hint="eastAsia"/>
          <w:lang w:val="en-US" w:eastAsia="zh-CN"/>
        </w:rPr>
        <w:t>巡检</w:t>
      </w:r>
      <w:r>
        <w:rPr>
          <w:rFonts w:hint="eastAsia"/>
        </w:rPr>
        <w:t>，并提交巡检报告。</w:t>
      </w:r>
    </w:p>
    <w:p w14:paraId="463635F5">
      <w:pPr>
        <w:ind w:firstLine="560"/>
      </w:pPr>
      <w:r>
        <w:rPr>
          <w:rFonts w:hint="eastAsia"/>
          <w:lang w:eastAsia="zh-CN"/>
        </w:rPr>
        <w:t>（</w:t>
      </w:r>
      <w:r>
        <w:rPr>
          <w:rFonts w:hint="eastAsia"/>
          <w:lang w:val="en-US" w:eastAsia="zh-CN"/>
        </w:rPr>
        <w:t>七</w:t>
      </w:r>
      <w:r>
        <w:rPr>
          <w:rFonts w:hint="eastAsia"/>
          <w:lang w:eastAsia="zh-CN"/>
        </w:rPr>
        <w:t>）</w:t>
      </w:r>
      <w:r>
        <w:rPr>
          <w:rFonts w:hint="eastAsia"/>
        </w:rPr>
        <w:t>年度运维报告：每年度末提供一份全面运行情况的报告，至少包括使用情况、故障分析、性能趋势。</w:t>
      </w:r>
    </w:p>
    <w:p w14:paraId="638C5CFC">
      <w:pPr>
        <w:ind w:firstLine="560"/>
      </w:pPr>
      <w:r>
        <w:rPr>
          <w:rFonts w:hint="eastAsia"/>
          <w:lang w:eastAsia="zh-CN"/>
        </w:rPr>
        <w:t>（</w:t>
      </w:r>
      <w:r>
        <w:rPr>
          <w:rFonts w:hint="eastAsia"/>
          <w:lang w:val="en-US" w:eastAsia="zh-CN"/>
        </w:rPr>
        <w:t>八</w:t>
      </w:r>
      <w:r>
        <w:rPr>
          <w:rFonts w:hint="eastAsia"/>
          <w:lang w:eastAsia="zh-CN"/>
        </w:rPr>
        <w:t>）</w:t>
      </w:r>
      <w:r>
        <w:rPr>
          <w:rFonts w:hint="eastAsia"/>
        </w:rPr>
        <w:t>维保核心系统：针对本次维保服务范围内的物联网基础设施管理系统、智慧物联网医院应用支撑平台，须提供对应系统原厂盖章的维保承诺函，承诺原厂直接提供相关维保技术支持。</w:t>
      </w:r>
    </w:p>
    <w:p w14:paraId="3BC412B6">
      <w:pPr>
        <w:pStyle w:val="4"/>
        <w:numPr>
          <w:ilvl w:val="1"/>
          <w:numId w:val="0"/>
        </w:numPr>
        <w:ind w:left="425"/>
        <w:rPr>
          <w:rFonts w:ascii="宋体" w:hAnsi="宋体" w:eastAsia="宋体" w:cs="宋体"/>
          <w:sz w:val="28"/>
          <w:szCs w:val="28"/>
        </w:rPr>
      </w:pPr>
      <w:bookmarkStart w:id="0" w:name="heading_2"/>
      <w:r>
        <w:rPr>
          <w:rFonts w:hint="eastAsia" w:ascii="宋体" w:hAnsi="宋体" w:eastAsia="宋体" w:cs="宋体"/>
          <w:sz w:val="28"/>
          <w:szCs w:val="28"/>
        </w:rPr>
        <w:t>三、 服务要求</w:t>
      </w:r>
      <w:bookmarkEnd w:id="0"/>
    </w:p>
    <w:p w14:paraId="31724831">
      <w:pPr>
        <w:pStyle w:val="5"/>
        <w:numPr>
          <w:ilvl w:val="2"/>
          <w:numId w:val="0"/>
        </w:numPr>
        <w:rPr>
          <w:rFonts w:ascii="宋体" w:hAnsi="宋体" w:cs="宋体"/>
          <w:sz w:val="28"/>
          <w:szCs w:val="21"/>
        </w:rPr>
      </w:pPr>
      <w:bookmarkStart w:id="1" w:name="heading_3"/>
      <w:r>
        <w:rPr>
          <w:rFonts w:hint="eastAsia" w:ascii="宋体" w:hAnsi="宋体" w:cs="宋体"/>
          <w:sz w:val="28"/>
          <w:szCs w:val="21"/>
          <w:lang w:eastAsia="zh-CN"/>
        </w:rPr>
        <w:t>（</w:t>
      </w:r>
      <w:r>
        <w:rPr>
          <w:rFonts w:hint="eastAsia" w:ascii="宋体" w:hAnsi="宋体" w:cs="宋体"/>
          <w:sz w:val="28"/>
          <w:szCs w:val="21"/>
          <w:lang w:val="en-US" w:eastAsia="zh-CN"/>
        </w:rPr>
        <w:t>一</w:t>
      </w:r>
      <w:r>
        <w:rPr>
          <w:rFonts w:hint="eastAsia" w:ascii="宋体" w:hAnsi="宋体" w:cs="宋体"/>
          <w:sz w:val="28"/>
          <w:szCs w:val="21"/>
          <w:lang w:eastAsia="zh-CN"/>
        </w:rPr>
        <w:t>）</w:t>
      </w:r>
      <w:r>
        <w:rPr>
          <w:rFonts w:hint="eastAsia" w:ascii="宋体" w:hAnsi="宋体" w:cs="宋体"/>
          <w:sz w:val="28"/>
          <w:szCs w:val="21"/>
        </w:rPr>
        <w:t>软件支持服务</w:t>
      </w:r>
      <w:bookmarkEnd w:id="1"/>
    </w:p>
    <w:p w14:paraId="51371621">
      <w:pPr>
        <w:ind w:firstLine="560"/>
      </w:pPr>
      <w:r>
        <w:rPr>
          <w:rFonts w:hint="eastAsia"/>
        </w:rPr>
        <w:t>提供持续的软件补丁更新、信息安全补丁更新，解决软件平台的缺陷、bug，保障系统运行稳定。具体要求包括：建立补丁更新专项机制，安排专人负责补丁的收集、测试、部署全流程管理，对于软件厂商发布的常规功能补丁，需在发布后7个工作日内完成测试并部署；对于高危信息安全补丁，需在发布后24小时内完成测试评估，48小时内完成部署，确保补丁更新不影响系统正常运行；接受医院安排的技术团队定期进行的系统漏洞扫描及软件缺陷检测等安全管理，致命缺陷（如非计划的数据库原因或应用系统自身故障原因造成宕机）需30分钟内解决；紧急缺陷需在2小时内响应、24小时内解决，重要缺陷需在4小时内响应、48小时内解决，一般缺陷需在8小时内响应、72小时内解决。收到安全隐患通知后，24小时内处置安全隐患。解决完成后需组织医院相关人员验收，验收通过后方可闭环管理，全程做好记录留存，确保每一个优化更新、补丁更新、缺陷修复都可追溯。</w:t>
      </w:r>
    </w:p>
    <w:p w14:paraId="7BDEBFCF">
      <w:pPr>
        <w:pStyle w:val="5"/>
        <w:numPr>
          <w:ilvl w:val="2"/>
          <w:numId w:val="0"/>
        </w:numPr>
      </w:pPr>
      <w:r>
        <w:rPr>
          <w:rFonts w:hint="eastAsia" w:ascii="宋体" w:hAnsi="宋体" w:cs="宋体"/>
          <w:sz w:val="28"/>
          <w:szCs w:val="21"/>
          <w:lang w:eastAsia="zh-CN"/>
        </w:rPr>
        <w:t>（</w:t>
      </w:r>
      <w:r>
        <w:rPr>
          <w:rFonts w:hint="eastAsia" w:ascii="宋体" w:hAnsi="宋体" w:cs="宋体"/>
          <w:sz w:val="28"/>
          <w:szCs w:val="21"/>
          <w:lang w:val="en-US" w:eastAsia="zh-CN"/>
        </w:rPr>
        <w:t>二</w:t>
      </w:r>
      <w:r>
        <w:rPr>
          <w:rFonts w:hint="eastAsia" w:ascii="宋体" w:hAnsi="宋体" w:cs="宋体"/>
          <w:sz w:val="28"/>
          <w:szCs w:val="21"/>
          <w:lang w:eastAsia="zh-CN"/>
        </w:rPr>
        <w:t>）</w:t>
      </w:r>
      <w:r>
        <w:rPr>
          <w:rFonts w:hint="eastAsia" w:ascii="宋体" w:hAnsi="宋体" w:cs="宋体"/>
          <w:sz w:val="28"/>
          <w:szCs w:val="21"/>
        </w:rPr>
        <w:t>硬件支持服务</w:t>
      </w:r>
    </w:p>
    <w:p w14:paraId="3BF5EBB4">
      <w:pPr>
        <w:ind w:firstLine="560"/>
      </w:pPr>
      <w:r>
        <w:rPr>
          <w:rFonts w:hint="eastAsia"/>
          <w:lang w:val="en-US" w:eastAsia="zh-CN"/>
        </w:rPr>
        <w:t>针对</w:t>
      </w:r>
      <w:r>
        <w:rPr>
          <w:rFonts w:hint="eastAsia"/>
        </w:rPr>
        <w:t>项目内各类硬件设施</w:t>
      </w:r>
      <w:r>
        <w:rPr>
          <w:rFonts w:hint="eastAsia"/>
          <w:lang w:eastAsia="zh-CN"/>
        </w:rPr>
        <w:t>（</w:t>
      </w:r>
      <w:r>
        <w:rPr>
          <w:rFonts w:hint="eastAsia"/>
        </w:rPr>
        <w:t>详见附件一</w:t>
      </w:r>
      <w:r>
        <w:rPr>
          <w:rFonts w:hint="eastAsia"/>
          <w:lang w:eastAsia="zh-CN"/>
        </w:rPr>
        <w:t>）</w:t>
      </w:r>
      <w:r>
        <w:rPr>
          <w:rFonts w:hint="eastAsia"/>
        </w:rPr>
        <w:t>提供全方位运维保障，服务期间全面承担设备日常管护，状态监测，故障应急处置等工作，设备出现故障须第一时间排查检修，零部件损坏及时更换对应原厂配件；经检修无法修复达到使用标准的，需提供同性能设备替代，确保对应硬件设备快速恢复正常运行状态，全力保障</w:t>
      </w:r>
      <w:r>
        <w:rPr>
          <w:rFonts w:hint="eastAsia"/>
          <w:lang w:val="en-US" w:eastAsia="zh-CN"/>
        </w:rPr>
        <w:t>医院</w:t>
      </w:r>
      <w:r>
        <w:rPr>
          <w:rFonts w:hint="eastAsia"/>
        </w:rPr>
        <w:t>业务不间断平稳运转。</w:t>
      </w:r>
    </w:p>
    <w:p w14:paraId="7CE74F88">
      <w:pPr>
        <w:pStyle w:val="5"/>
        <w:numPr>
          <w:ilvl w:val="2"/>
          <w:numId w:val="0"/>
        </w:numPr>
        <w:ind w:left="992" w:hanging="567"/>
        <w:rPr>
          <w:rFonts w:ascii="宋体" w:hAnsi="宋体" w:cs="宋体"/>
          <w:sz w:val="28"/>
          <w:szCs w:val="21"/>
        </w:rPr>
      </w:pPr>
      <w:bookmarkStart w:id="2" w:name="heading_4"/>
      <w:r>
        <w:rPr>
          <w:rFonts w:hint="eastAsia" w:ascii="宋体" w:hAnsi="宋体" w:cs="宋体"/>
          <w:sz w:val="28"/>
          <w:szCs w:val="21"/>
          <w:lang w:eastAsia="zh-CN"/>
        </w:rPr>
        <w:t>（</w:t>
      </w:r>
      <w:r>
        <w:rPr>
          <w:rFonts w:hint="eastAsia" w:ascii="宋体" w:hAnsi="宋体" w:cs="宋体"/>
          <w:sz w:val="28"/>
          <w:szCs w:val="21"/>
          <w:lang w:val="en-US" w:eastAsia="zh-CN"/>
        </w:rPr>
        <w:t>三</w:t>
      </w:r>
      <w:r>
        <w:rPr>
          <w:rFonts w:hint="eastAsia" w:ascii="宋体" w:hAnsi="宋体" w:cs="宋体"/>
          <w:sz w:val="28"/>
          <w:szCs w:val="21"/>
          <w:lang w:eastAsia="zh-CN"/>
        </w:rPr>
        <w:t>）</w:t>
      </w:r>
      <w:r>
        <w:rPr>
          <w:rFonts w:hint="eastAsia" w:ascii="宋体" w:hAnsi="宋体" w:cs="宋体"/>
          <w:sz w:val="28"/>
          <w:szCs w:val="21"/>
        </w:rPr>
        <w:t>驻场保障服务</w:t>
      </w:r>
      <w:bookmarkEnd w:id="2"/>
      <w:r>
        <w:rPr>
          <w:rFonts w:hint="eastAsia" w:ascii="宋体" w:hAnsi="宋体" w:cs="宋体"/>
          <w:sz w:val="28"/>
          <w:szCs w:val="21"/>
        </w:rPr>
        <w:t>要求</w:t>
      </w:r>
    </w:p>
    <w:p w14:paraId="50DAEAB6">
      <w:pPr>
        <w:ind w:firstLine="560"/>
      </w:pPr>
      <w:r>
        <w:rPr>
          <w:rFonts w:hint="eastAsia"/>
          <w:lang w:val="en-US" w:eastAsia="zh-CN"/>
        </w:rPr>
        <w:t>1.</w:t>
      </w:r>
      <w:r>
        <w:rPr>
          <w:rFonts w:hint="eastAsia"/>
        </w:rPr>
        <w:t>软件的现场故障分析、诊断和排除。驻场工程师需第一时间响应医院提出的现场故障需求，接到故障通知后，立即赶赴现场开展故障分析、诊断工作，结合系统运行日志、故障现象，快速定位故障原因，制定科学合理的故障排除方案；对于影响全院业务严重的故障（如系统崩溃、数据库异常、接口中断等），需立即启动应急处置流程</w:t>
      </w:r>
      <w:r>
        <w:t>，</w:t>
      </w:r>
      <w:r>
        <w:rPr>
          <w:rFonts w:hint="eastAsia"/>
        </w:rPr>
        <w:t>30分钟</w:t>
      </w:r>
      <w:r>
        <w:t>内</w:t>
      </w:r>
      <w:r>
        <w:rPr>
          <w:rFonts w:hint="eastAsia"/>
        </w:rPr>
        <w:t>排除并解决；故障排除完成后，需进行全面测试，确认系统恢复正常，并于2个工作日内提交</w:t>
      </w:r>
      <w:bookmarkStart w:id="3" w:name="OLE_LINK2"/>
      <w:bookmarkStart w:id="4" w:name="OLE_LINK1"/>
      <w:r>
        <w:rPr>
          <w:rFonts w:hint="eastAsia"/>
        </w:rPr>
        <w:t>故障回溯/复盘报告，详细记录故障现象、原因、处理过程及结果，留存备查</w:t>
      </w:r>
      <w:bookmarkEnd w:id="3"/>
      <w:bookmarkEnd w:id="4"/>
      <w:r>
        <w:rPr>
          <w:rFonts w:hint="eastAsia"/>
        </w:rPr>
        <w:t>。</w:t>
      </w:r>
    </w:p>
    <w:p w14:paraId="65B8938F">
      <w:pPr>
        <w:ind w:firstLine="560"/>
      </w:pPr>
      <w:r>
        <w:rPr>
          <w:rFonts w:hint="eastAsia"/>
          <w:lang w:val="en-US" w:eastAsia="zh-CN"/>
        </w:rPr>
        <w:t>2.</w:t>
      </w:r>
      <w:r>
        <w:rPr>
          <w:rFonts w:hint="eastAsia"/>
        </w:rPr>
        <w:t>硬件的现场故障分析、诊断和排除。</w:t>
      </w:r>
      <w:r>
        <w:t>驻场工程师须第一时间响应医院提出的硬件设备现场故障需求，接到故障报修通知后即刻抵达现场开展故障排查、检测诊断工作，结合设备运行参数、硬件报错代码、设备实际故障现象快速锁定故障根源，制定规范可行的故障维修更换处置方案；针对严重影响全院诊疗业务的硬件故障（如服务器宕机、存储设备故障、网络交换机瘫痪、诊疗终端整机损坏、核心外设硬件失效等），立即启动硬件应急抢修流程，30 分钟内完成故障处置、恢复设备正常运行；故障维修更换完成后，对整机及配套联动设备开展全功能核验测试，确认设备运行状态稳定无异常</w:t>
      </w:r>
      <w:r>
        <w:rPr>
          <w:rFonts w:hint="eastAsia"/>
        </w:rPr>
        <w:t>。需</w:t>
      </w:r>
      <w:r>
        <w:t>完整记录故障表现、硬件损坏部件、故障诱因、抢修处置流程、更换配件信息及最终恢复结果，统一归档留存以备核查</w:t>
      </w:r>
      <w:r>
        <w:rPr>
          <w:rFonts w:hint="eastAsia"/>
        </w:rPr>
        <w:t>。</w:t>
      </w:r>
    </w:p>
    <w:p w14:paraId="1303FB61">
      <w:pPr>
        <w:ind w:firstLine="560"/>
      </w:pPr>
      <w:r>
        <w:rPr>
          <w:rFonts w:hint="eastAsia"/>
          <w:lang w:val="en-US" w:eastAsia="zh-CN"/>
        </w:rPr>
        <w:t>3.</w:t>
      </w:r>
      <w:r>
        <w:rPr>
          <w:rFonts w:hint="eastAsia"/>
        </w:rPr>
        <w:t>现场业务数据核对与排查，数据库维护及优化更新。驻场工程师需配合医院信息中心、临床科室等部门，开展日常业务数据核对与排查工作，包括患者信息、诊疗数据等各类业务数据的准确性、完整性、一致性核对；针对数据异常情况（如数据缺失、数据错误、数据不一致等），需及时开展排查，分析异常原因，制定数据修正方案，在确保数据安全的前提下，完成数据修正工作；如数据库有异常情况，及时告知用户，提出解决方法。</w:t>
      </w:r>
    </w:p>
    <w:p w14:paraId="1EBE3570">
      <w:pPr>
        <w:ind w:firstLine="560"/>
      </w:pPr>
      <w:r>
        <w:rPr>
          <w:rFonts w:hint="eastAsia"/>
          <w:lang w:val="en-US" w:eastAsia="zh-CN"/>
        </w:rPr>
        <w:t>4.</w:t>
      </w:r>
      <w:r>
        <w:rPr>
          <w:rFonts w:hint="eastAsia"/>
        </w:rPr>
        <w:t>经双方商定的定期现场服务。提前与医院相关部门沟通，明确关键时间段的具体时间、服务需求及工作重点，在关键时间段安排驻场工程师全程在岗，提供专项保障服务；针对医院重大活动（如大型体检、突发公共卫生事件处置等），根据医院需求，提供专项现场保障服务，确保系统稳定运行。</w:t>
      </w:r>
    </w:p>
    <w:p w14:paraId="00CA5E4F">
      <w:pPr>
        <w:ind w:firstLine="560"/>
      </w:pPr>
      <w:r>
        <w:rPr>
          <w:rFonts w:hint="eastAsia"/>
          <w:lang w:val="en-US" w:eastAsia="zh-CN"/>
        </w:rPr>
        <w:t>5.</w:t>
      </w:r>
      <w:r>
        <w:rPr>
          <w:rFonts w:hint="eastAsia"/>
        </w:rPr>
        <w:t>提供7天*24小时电话维保服务。设立专属的24小时电话维保热线，安排专业技术人员轮班值守，确保热线电话7天*24小时畅通，无无人接听、占线超时等情况；接听电话后，需耐心倾听用户诉求，准确记录问题信息（包括问题描述、发生地点、影响范围等），根据问题情况及时给出解决方案或指导意见；对于无法通过电话解决的问题，需立即协调驻场工程师或远程技术团队进行处理，并明确告知用户问题处理进度和预计解决时间，全程跟踪问题处理情况，直至问题彻底解决，确保用户诉求得到及时响应和妥善处理。</w:t>
      </w:r>
    </w:p>
    <w:p w14:paraId="248C15CB">
      <w:pPr>
        <w:ind w:firstLine="560"/>
      </w:pPr>
      <w:r>
        <w:rPr>
          <w:rFonts w:hint="eastAsia"/>
          <w:lang w:val="en-US" w:eastAsia="zh-CN"/>
        </w:rPr>
        <w:t>6.</w:t>
      </w:r>
      <w:r>
        <w:rPr>
          <w:rFonts w:hint="eastAsia"/>
        </w:rPr>
        <w:t>服务人员配置要求</w:t>
      </w:r>
    </w:p>
    <w:p w14:paraId="1F9DD145">
      <w:pPr>
        <w:ind w:firstLine="560"/>
      </w:pPr>
      <w:r>
        <w:rPr>
          <w:rFonts w:hint="eastAsia"/>
        </w:rPr>
        <w:t>工作日，维保供应商派遣有经验的不少于2名工程师作为本项目固定的专职驻场工程师。工作作息时间为每周5天*8小时，上、下班按照与采购人约定的时间作息。除特殊情况（如病假、事假）并经医院方书面同意外，工作时间不得擅自离开工作岗位，不得从事与本项目无关的工作。</w:t>
      </w:r>
    </w:p>
    <w:p w14:paraId="7AEAD9AC">
      <w:pPr>
        <w:ind w:firstLine="560"/>
      </w:pPr>
      <w:r>
        <w:rPr>
          <w:rFonts w:hint="eastAsia"/>
        </w:rPr>
        <w:t>非工作日应安排远程运维值班人员，及时响应医院的运维需求；如无法通过电话、远程方式解决院方提出的维修要求，接到报修通知后，2小时内派工程师到达现场处理，</w:t>
      </w:r>
      <w:r>
        <w:t>到达现场后应立即开展处置并在30分钟内向采购人反馈故障初判、影响范围、预计恢复时间和后续处理路径。</w:t>
      </w:r>
    </w:p>
    <w:p w14:paraId="26177E80">
      <w:pPr>
        <w:ind w:firstLine="560"/>
      </w:pPr>
      <w:r>
        <w:rPr>
          <w:rFonts w:hint="eastAsia"/>
        </w:rPr>
        <w:t>专职驻场工程师需具备3年以上医院系统运维经验，熟悉医疗行业相关规范和医院业务流程，能够独立处理各类常见系统故障和运维问题，同时具备良好的沟通协调能力和服务意识，能够高效配合医院各部门开展工作；服务过程中不得出现：态度恶劣拒不执行，与我院工作人员发生争吵，或者故意推诿、拖延的情况。如出现以上负面事件，整改后输出负面事件回溯</w:t>
      </w:r>
      <w:r>
        <w:t>/复盘报告</w:t>
      </w:r>
      <w:r>
        <w:rPr>
          <w:rFonts w:hint="eastAsia"/>
        </w:rPr>
        <w:t>，详细记录负面事件过程、原因、整改措施及结果，留存备查。</w:t>
      </w:r>
    </w:p>
    <w:p w14:paraId="520B14D2">
      <w:pPr>
        <w:ind w:firstLine="560"/>
      </w:pPr>
      <w:r>
        <w:rPr>
          <w:rFonts w:hint="eastAsia"/>
          <w:lang w:val="en-US" w:eastAsia="zh-CN"/>
        </w:rPr>
        <w:t>7.</w:t>
      </w:r>
      <w:r>
        <w:t>按月报送运维需求推进情况汇总</w:t>
      </w:r>
    </w:p>
    <w:p w14:paraId="0D35B7D9">
      <w:pPr>
        <w:ind w:firstLine="560"/>
      </w:pPr>
      <w:r>
        <w:rPr>
          <w:rFonts w:hint="eastAsia"/>
        </w:rPr>
        <w:t>每月25日前，驻场工程师需汇总当月接收的运维需求、故障处理情况、数据核对情况等，形成月度运维工作报告，报告需明确当月运维工作完成情况、未完成工作的进度及原因、下月工作计划等内容，提交医院信息中心审核；对于医院提出的各类运维需求，需严格按照既定时间节点推进，如因特殊情况无法按时完成，需提前向医院方说明原因，申请延期，并制定改进措施，确保运维工作有序推进，满足医院工作需求。</w:t>
      </w:r>
    </w:p>
    <w:p w14:paraId="25A335DF">
      <w:pPr>
        <w:ind w:firstLine="560"/>
      </w:pPr>
      <w:r>
        <w:rPr>
          <w:rFonts w:hint="eastAsia"/>
          <w:lang w:val="en-US" w:eastAsia="zh-CN"/>
        </w:rPr>
        <w:t>8.</w:t>
      </w:r>
      <w:r>
        <w:rPr>
          <w:rFonts w:hint="eastAsia"/>
        </w:rPr>
        <w:t>驻场工程师及其他工程师在为本项目工作前需提供无犯罪记录证明，并与医院签订信息及数据安全责任书。工作期间必须遵守医院制定的工作流程、岗位职责及操作守则。严格遵守医院信息安全管理规定，不得泄露医院患者信息、诊疗数据、财务数据等敏感信息，不得擅自操作医院核心系统、修改系统参数；遵守我院信息数据修改的审批流程进行数据修改，审批记录必须留存；遵守医院考勤、保密、卫生等各项规章制度；工作期间保持良好的工作状态，着装规范、言行得体，主动配合医院各部门开展工作，及时响应用户诉求，提供优质、高效的服务；如违反医院相关规定，医院方有权提出整改要求，维保供应商需及时整改，情节严重的，医院方有权追究相关责任。</w:t>
      </w:r>
    </w:p>
    <w:p w14:paraId="7936BF31">
      <w:pPr>
        <w:ind w:firstLine="560"/>
      </w:pPr>
      <w:r>
        <w:rPr>
          <w:rFonts w:hint="eastAsia"/>
          <w:lang w:val="en-US" w:eastAsia="zh-CN"/>
        </w:rPr>
        <w:t>9.</w:t>
      </w:r>
      <w:r>
        <w:rPr>
          <w:rFonts w:hint="eastAsia"/>
        </w:rPr>
        <w:t>维保供应商更换和借调驻场工程师需提前1个月向医院方提交申请并与医院方协商一致，同时做好交接工作。更换驻场工程师时，需提交新驻场工程师的个人简历、资质证明、无犯罪证明、工作经验等相关材料，经医院方审核通过后方可更换；原驻场工程师需与新驻场工程师做好工作交接，交接内容包括但不限于：系统运行状态、未完成的运维工作、故障处理台账、数据核对记录、知识资料等，确保交接工作全面、细致，无遗漏；交接完成后，需组织医院相关人员进行验收，确保新驻场工程师能够快速熟悉工作内容，顺利开展驻场运维服务，避免因人员更换影响服务质量和系统运行。</w:t>
      </w:r>
    </w:p>
    <w:p w14:paraId="3311E321">
      <w:pPr>
        <w:pStyle w:val="5"/>
        <w:numPr>
          <w:ilvl w:val="2"/>
          <w:numId w:val="0"/>
        </w:numPr>
        <w:ind w:left="992" w:hanging="567"/>
        <w:rPr>
          <w:rFonts w:ascii="宋体" w:hAnsi="宋体" w:cs="宋体"/>
          <w:sz w:val="28"/>
          <w:szCs w:val="21"/>
        </w:rPr>
      </w:pPr>
      <w:bookmarkStart w:id="5" w:name="heading_5"/>
      <w:r>
        <w:rPr>
          <w:rFonts w:hint="eastAsia" w:ascii="宋体" w:hAnsi="宋体" w:cs="宋体"/>
          <w:sz w:val="28"/>
          <w:szCs w:val="21"/>
          <w:lang w:eastAsia="zh-CN"/>
        </w:rPr>
        <w:t>（</w:t>
      </w:r>
      <w:r>
        <w:rPr>
          <w:rFonts w:hint="eastAsia" w:ascii="宋体" w:hAnsi="宋体" w:cs="宋体"/>
          <w:sz w:val="28"/>
          <w:szCs w:val="21"/>
          <w:lang w:val="en-US" w:eastAsia="zh-CN"/>
        </w:rPr>
        <w:t>四</w:t>
      </w:r>
      <w:r>
        <w:rPr>
          <w:rFonts w:hint="eastAsia" w:ascii="宋体" w:hAnsi="宋体" w:cs="宋体"/>
          <w:sz w:val="28"/>
          <w:szCs w:val="21"/>
          <w:lang w:eastAsia="zh-CN"/>
        </w:rPr>
        <w:t>）</w:t>
      </w:r>
      <w:r>
        <w:rPr>
          <w:rFonts w:hint="eastAsia" w:ascii="宋体" w:hAnsi="宋体" w:cs="宋体"/>
          <w:sz w:val="28"/>
          <w:szCs w:val="21"/>
        </w:rPr>
        <w:t>日常技术运维服务</w:t>
      </w:r>
      <w:bookmarkEnd w:id="5"/>
    </w:p>
    <w:p w14:paraId="6B997A6C">
      <w:pPr>
        <w:ind w:firstLine="560"/>
      </w:pPr>
      <w:r>
        <w:rPr>
          <w:rFonts w:hint="eastAsia"/>
        </w:rPr>
        <w:t>全面覆盖智慧医院建设项目（包件1）所需的各类运维服务，包括但不限于现场维修维护、电话咨询、远程技术支持等服务。按照既定的操作规范和操作流程，开展复杂项目的系统运维工作，定期对系统进行维护保养，及时发现并解决系统运行过程中出现的各类问题；配合医院开展系统备份工作，定期进行全量备份和增量备份，确保数据安全，防止数据丢失；建立日常运维台账，详细记录每一次运维服务的时间、内容、处理结果等信息，定期汇总分析，不断优化运维服务流程，提升服务质量，全方位保障系统稳定、高效运行，满足医院日常诊疗、行政办公、管理决策等各项工作需求。</w:t>
      </w:r>
    </w:p>
    <w:p w14:paraId="5337BBC7">
      <w:pPr>
        <w:pStyle w:val="5"/>
        <w:numPr>
          <w:ilvl w:val="2"/>
          <w:numId w:val="0"/>
        </w:numPr>
        <w:ind w:left="992" w:hanging="567"/>
        <w:rPr>
          <w:rFonts w:ascii="宋体" w:hAnsi="宋体" w:cs="宋体"/>
          <w:sz w:val="28"/>
          <w:szCs w:val="21"/>
        </w:rPr>
      </w:pPr>
      <w:bookmarkStart w:id="6" w:name="heading_8"/>
      <w:r>
        <w:rPr>
          <w:rFonts w:hint="eastAsia" w:ascii="宋体" w:hAnsi="宋体" w:cs="宋体"/>
          <w:sz w:val="28"/>
          <w:szCs w:val="21"/>
          <w:lang w:eastAsia="zh-CN"/>
        </w:rPr>
        <w:t>（</w:t>
      </w:r>
      <w:r>
        <w:rPr>
          <w:rFonts w:hint="eastAsia" w:ascii="宋体" w:hAnsi="宋体" w:cs="宋体"/>
          <w:sz w:val="28"/>
          <w:szCs w:val="21"/>
          <w:lang w:val="en-US" w:eastAsia="zh-CN"/>
        </w:rPr>
        <w:t>五</w:t>
      </w:r>
      <w:r>
        <w:rPr>
          <w:rFonts w:hint="eastAsia" w:ascii="宋体" w:hAnsi="宋体" w:cs="宋体"/>
          <w:sz w:val="28"/>
          <w:szCs w:val="21"/>
          <w:lang w:eastAsia="zh-CN"/>
        </w:rPr>
        <w:t>）</w:t>
      </w:r>
      <w:r>
        <w:rPr>
          <w:rFonts w:hint="eastAsia" w:ascii="宋体" w:hAnsi="宋体" w:cs="宋体"/>
          <w:sz w:val="28"/>
          <w:szCs w:val="21"/>
        </w:rPr>
        <w:t>巡检服务</w:t>
      </w:r>
      <w:bookmarkEnd w:id="6"/>
    </w:p>
    <w:p w14:paraId="2EF2054D">
      <w:pPr>
        <w:ind w:firstLine="560"/>
      </w:pPr>
      <w:r>
        <w:rPr>
          <w:rFonts w:hint="eastAsia"/>
          <w:lang w:val="en-US" w:eastAsia="zh-CN"/>
        </w:rPr>
        <w:t>1.</w:t>
      </w:r>
      <w:r>
        <w:rPr>
          <w:rFonts w:hint="eastAsia"/>
        </w:rPr>
        <w:t>为上述系统运行环境提供全面的</w:t>
      </w:r>
      <w:r>
        <w:rPr>
          <w:rFonts w:hint="eastAsia"/>
          <w:lang w:val="en-US" w:eastAsia="zh-CN"/>
        </w:rPr>
        <w:t>现场</w:t>
      </w:r>
      <w:r>
        <w:rPr>
          <w:rFonts w:hint="eastAsia"/>
        </w:rPr>
        <w:t>检查，包括日志检查、设备状态检查等，全面反映系统运行状况，提供运行情况诊断报告和改进建议。每次巡检前，制定详细的巡检方案，明确巡检范围、巡检内容、巡检流程及责任人；对检查中发现的问题，详细记录问题情况、位置及影响范围，深入分析问题原因，形成全面的运行情况诊断报告，报告需包含巡检概况、发现的问题、问题分析、整改建议及整改时限等内容，确保医院能够全面了解系统运行状况。</w:t>
      </w:r>
    </w:p>
    <w:p w14:paraId="6FFC9CD5">
      <w:pPr>
        <w:ind w:firstLine="560"/>
      </w:pPr>
      <w:r>
        <w:rPr>
          <w:rFonts w:hint="eastAsia"/>
          <w:lang w:val="en-US" w:eastAsia="zh-CN"/>
        </w:rPr>
        <w:t>2.</w:t>
      </w:r>
      <w:r>
        <w:rPr>
          <w:rFonts w:hint="eastAsia"/>
        </w:rPr>
        <w:t>每月提供针对上述系统的一次巡检情况报告。每月末完成当月巡检工作后，3个工作日内提交月度巡检情况报告，报告需汇总当月各次巡检的情况，包括系统运行整体评价、发现的问题及整改完成情况、系统运行趋势分析、下月度巡检重点等内容，为医院信息中心开展系统管理工作提供参考依据；同时，针对月度巡检中发现的共性问题、突出问题，组织技术团队进行专题分析，制定长效改进措施，避免同类问题重复出现。</w:t>
      </w:r>
    </w:p>
    <w:p w14:paraId="41F34A0E">
      <w:pPr>
        <w:pStyle w:val="4"/>
        <w:numPr>
          <w:ilvl w:val="1"/>
          <w:numId w:val="0"/>
        </w:numPr>
        <w:ind w:left="992" w:hanging="567"/>
      </w:pPr>
      <w:bookmarkStart w:id="7" w:name="heading_9"/>
      <w:r>
        <w:rPr>
          <w:rFonts w:hint="eastAsia"/>
        </w:rPr>
        <w:t>四、 商务要求</w:t>
      </w:r>
      <w:bookmarkEnd w:id="7"/>
    </w:p>
    <w:p w14:paraId="2195B9A3">
      <w:pPr>
        <w:pStyle w:val="5"/>
        <w:numPr>
          <w:ilvl w:val="2"/>
          <w:numId w:val="0"/>
        </w:numPr>
        <w:ind w:left="992" w:hanging="567"/>
        <w:rPr>
          <w:rFonts w:ascii="宋体" w:hAnsi="宋体" w:cs="宋体"/>
          <w:sz w:val="28"/>
          <w:szCs w:val="21"/>
        </w:rPr>
      </w:pPr>
      <w:bookmarkStart w:id="8" w:name="heading_10"/>
      <w:r>
        <w:rPr>
          <w:rFonts w:hint="eastAsia" w:ascii="宋体" w:hAnsi="宋体" w:cs="宋体"/>
          <w:sz w:val="28"/>
          <w:szCs w:val="21"/>
          <w:lang w:eastAsia="zh-CN"/>
        </w:rPr>
        <w:t>（</w:t>
      </w:r>
      <w:r>
        <w:rPr>
          <w:rFonts w:hint="eastAsia" w:ascii="宋体" w:hAnsi="宋体" w:cs="宋体"/>
          <w:sz w:val="28"/>
          <w:szCs w:val="21"/>
          <w:lang w:val="en-US" w:eastAsia="zh-CN"/>
        </w:rPr>
        <w:t>一</w:t>
      </w:r>
      <w:r>
        <w:rPr>
          <w:rFonts w:hint="eastAsia" w:ascii="宋体" w:hAnsi="宋体" w:cs="宋体"/>
          <w:sz w:val="28"/>
          <w:szCs w:val="21"/>
          <w:lang w:eastAsia="zh-CN"/>
        </w:rPr>
        <w:t>）</w:t>
      </w:r>
      <w:r>
        <w:rPr>
          <w:rFonts w:hint="eastAsia" w:ascii="宋体" w:hAnsi="宋体" w:cs="宋体"/>
          <w:sz w:val="28"/>
          <w:szCs w:val="21"/>
        </w:rPr>
        <w:t>服务期限</w:t>
      </w:r>
      <w:bookmarkEnd w:id="8"/>
    </w:p>
    <w:p w14:paraId="0C89C972">
      <w:pPr>
        <w:ind w:firstLine="560"/>
      </w:pPr>
      <w:r>
        <w:rPr>
          <w:rFonts w:hint="eastAsia"/>
          <w:lang w:val="en-US" w:eastAsia="zh-CN"/>
        </w:rPr>
        <w:t>3年，逐年考核合同后续签下一年合同。</w:t>
      </w:r>
    </w:p>
    <w:p w14:paraId="28B459B4">
      <w:pPr>
        <w:pStyle w:val="5"/>
        <w:numPr>
          <w:ilvl w:val="2"/>
          <w:numId w:val="0"/>
        </w:numPr>
        <w:ind w:left="992" w:hanging="567"/>
        <w:rPr>
          <w:rFonts w:ascii="宋体" w:hAnsi="宋体" w:cs="宋体"/>
          <w:sz w:val="28"/>
          <w:szCs w:val="21"/>
        </w:rPr>
      </w:pPr>
      <w:bookmarkStart w:id="9" w:name="heading_11"/>
      <w:r>
        <w:rPr>
          <w:rFonts w:hint="eastAsia" w:ascii="宋体" w:hAnsi="宋体" w:cs="宋体"/>
          <w:sz w:val="28"/>
          <w:szCs w:val="21"/>
          <w:lang w:eastAsia="zh-CN"/>
        </w:rPr>
        <w:t>（</w:t>
      </w:r>
      <w:r>
        <w:rPr>
          <w:rFonts w:hint="eastAsia" w:ascii="宋体" w:hAnsi="宋体" w:cs="宋体"/>
          <w:sz w:val="28"/>
          <w:szCs w:val="21"/>
          <w:lang w:val="en-US" w:eastAsia="zh-CN"/>
        </w:rPr>
        <w:t>二</w:t>
      </w:r>
      <w:r>
        <w:rPr>
          <w:rFonts w:hint="eastAsia" w:ascii="宋体" w:hAnsi="宋体" w:cs="宋体"/>
          <w:sz w:val="28"/>
          <w:szCs w:val="21"/>
          <w:lang w:eastAsia="zh-CN"/>
        </w:rPr>
        <w:t>）</w:t>
      </w:r>
      <w:r>
        <w:rPr>
          <w:rFonts w:hint="eastAsia" w:ascii="宋体" w:hAnsi="宋体" w:cs="宋体"/>
          <w:sz w:val="28"/>
          <w:szCs w:val="21"/>
        </w:rPr>
        <w:t>服务地点</w:t>
      </w:r>
      <w:bookmarkEnd w:id="9"/>
    </w:p>
    <w:p w14:paraId="44D62701">
      <w:pPr>
        <w:ind w:firstLine="560"/>
      </w:pPr>
      <w:r>
        <w:rPr>
          <w:rFonts w:hint="eastAsia"/>
        </w:rPr>
        <w:t>成都市第二人民医院</w:t>
      </w:r>
    </w:p>
    <w:p w14:paraId="4DBD3994">
      <w:pPr>
        <w:pStyle w:val="5"/>
        <w:numPr>
          <w:ilvl w:val="2"/>
          <w:numId w:val="0"/>
        </w:numPr>
        <w:ind w:left="992" w:hanging="567"/>
        <w:rPr>
          <w:rFonts w:ascii="宋体" w:hAnsi="宋体" w:cs="宋体"/>
          <w:sz w:val="28"/>
          <w:szCs w:val="21"/>
        </w:rPr>
      </w:pPr>
      <w:bookmarkStart w:id="10" w:name="heading_12"/>
      <w:r>
        <w:rPr>
          <w:rFonts w:hint="eastAsia" w:ascii="宋体" w:hAnsi="宋体" w:cs="宋体"/>
          <w:sz w:val="28"/>
          <w:szCs w:val="21"/>
          <w:lang w:eastAsia="zh-CN"/>
        </w:rPr>
        <w:t>（</w:t>
      </w:r>
      <w:r>
        <w:rPr>
          <w:rFonts w:hint="eastAsia" w:ascii="宋体" w:hAnsi="宋体" w:cs="宋体"/>
          <w:sz w:val="28"/>
          <w:szCs w:val="21"/>
          <w:lang w:val="en-US" w:eastAsia="zh-CN"/>
        </w:rPr>
        <w:t>三</w:t>
      </w:r>
      <w:r>
        <w:rPr>
          <w:rFonts w:hint="eastAsia" w:ascii="宋体" w:hAnsi="宋体" w:cs="宋体"/>
          <w:sz w:val="28"/>
          <w:szCs w:val="21"/>
          <w:lang w:eastAsia="zh-CN"/>
        </w:rPr>
        <w:t>）</w:t>
      </w:r>
      <w:r>
        <w:rPr>
          <w:rFonts w:hint="eastAsia" w:ascii="宋体" w:hAnsi="宋体" w:cs="宋体"/>
          <w:sz w:val="28"/>
          <w:szCs w:val="21"/>
        </w:rPr>
        <w:t>付款方式</w:t>
      </w:r>
      <w:bookmarkEnd w:id="10"/>
    </w:p>
    <w:p w14:paraId="3B5CF099">
      <w:pPr>
        <w:ind w:firstLine="560"/>
      </w:pPr>
      <w:r>
        <w:rPr>
          <w:rFonts w:hint="eastAsia"/>
        </w:rPr>
        <w:t>合同签订后15工作日内，乙方提供合法等额票据，甲方向乙方支付合同总金额的1</w:t>
      </w:r>
      <w:r>
        <w:t>0</w:t>
      </w:r>
      <w:r>
        <w:rPr>
          <w:rFonts w:hint="eastAsia"/>
        </w:rPr>
        <w:t>%；每4个月为一个服务考核周期，1个服务年度内共3个考核周期，根据每个周期考核得分按比例支付合同总金额的3</w:t>
      </w:r>
      <w:r>
        <w:t>0%</w:t>
      </w:r>
      <w:r>
        <w:rPr>
          <w:rFonts w:hint="eastAsia"/>
        </w:rPr>
        <w:t>。甲方收到中标供应商开具的发票后10个工作日内，甲方向乙方支付相应款项。甲方根据人员工作质量、任务完成情况、服务响应情况、制度执行情况等进行考核评分。</w:t>
      </w:r>
    </w:p>
    <w:p w14:paraId="3DA74B0D">
      <w:pPr>
        <w:ind w:firstLine="560"/>
      </w:pPr>
      <w:r>
        <w:rPr>
          <w:rFonts w:hint="eastAsia"/>
        </w:rPr>
        <w:t>得分和支付比例如下：</w:t>
      </w:r>
    </w:p>
    <w:p w14:paraId="2579BD78">
      <w:pPr>
        <w:ind w:firstLine="560"/>
        <w:rPr/>
      </w:pPr>
      <w:r>
        <w:t>1)</w:t>
      </w:r>
      <w:r>
        <w:rPr>
          <w:rFonts w:hint="eastAsia"/>
        </w:rPr>
        <w:t>得分</w:t>
      </w:r>
      <w:r>
        <w:t>90</w:t>
      </w:r>
      <w:r>
        <w:rPr>
          <w:rFonts w:hint="eastAsia"/>
        </w:rPr>
        <w:t>分及以上，全款支付当次考核周期服务费；</w:t>
      </w:r>
    </w:p>
    <w:p w14:paraId="229873DF">
      <w:pPr>
        <w:ind w:firstLine="560"/>
        <w:rPr/>
      </w:pPr>
      <w:r>
        <w:t>2)</w:t>
      </w:r>
      <w:r>
        <w:rPr>
          <w:rFonts w:hint="eastAsia"/>
        </w:rPr>
        <w:t>得分80（含）</w:t>
      </w:r>
      <w:r>
        <w:t>-90</w:t>
      </w:r>
      <w:r>
        <w:rPr>
          <w:rFonts w:hint="eastAsia"/>
        </w:rPr>
        <w:t>分，支付当次考核周期服务费</w:t>
      </w:r>
      <w:r>
        <w:t>90</w:t>
      </w:r>
      <w:r>
        <w:rPr>
          <w:rFonts w:hint="eastAsia"/>
        </w:rPr>
        <w:t>%；</w:t>
      </w:r>
    </w:p>
    <w:p w14:paraId="23542FD7">
      <w:pPr>
        <w:ind w:firstLine="560"/>
        <w:rPr/>
      </w:pPr>
      <w:r>
        <w:rPr>
          <w:rFonts w:hint="eastAsia"/>
        </w:rPr>
        <w:t>3</w:t>
      </w:r>
      <w:r>
        <w:t>)</w:t>
      </w:r>
      <w:r>
        <w:rPr>
          <w:rFonts w:hint="eastAsia"/>
        </w:rPr>
        <w:t>得分</w:t>
      </w:r>
      <w:r>
        <w:t>7</w:t>
      </w:r>
      <w:r>
        <w:rPr>
          <w:rFonts w:hint="eastAsia"/>
        </w:rPr>
        <w:t>0</w:t>
      </w:r>
      <w:r>
        <w:rPr>
          <w:rFonts w:hint="eastAsia"/>
          <w:lang w:eastAsia="zh-CN"/>
        </w:rPr>
        <w:t>（</w:t>
      </w:r>
      <w:r>
        <w:rPr>
          <w:rFonts w:hint="eastAsia"/>
          <w:lang w:val="en-US" w:eastAsia="zh-CN"/>
        </w:rPr>
        <w:t>含</w:t>
      </w:r>
      <w:r>
        <w:rPr>
          <w:rFonts w:hint="eastAsia"/>
          <w:lang w:eastAsia="zh-CN"/>
        </w:rPr>
        <w:t>）</w:t>
      </w:r>
      <w:r>
        <w:t>-80</w:t>
      </w:r>
      <w:r>
        <w:rPr>
          <w:rFonts w:hint="eastAsia"/>
        </w:rPr>
        <w:t>分，支付当次考核周期服务费8</w:t>
      </w:r>
      <w:r>
        <w:t>0</w:t>
      </w:r>
      <w:r>
        <w:rPr>
          <w:rFonts w:hint="eastAsia"/>
        </w:rPr>
        <w:t>%；</w:t>
      </w:r>
    </w:p>
    <w:p w14:paraId="3FE8385F">
      <w:pPr>
        <w:ind w:firstLine="560"/>
        <w:rPr/>
      </w:pPr>
      <w:r>
        <w:rPr>
          <w:rFonts w:hint="eastAsia"/>
        </w:rPr>
        <w:t>4</w:t>
      </w:r>
      <w:r>
        <w:t>)</w:t>
      </w:r>
      <w:r>
        <w:rPr>
          <w:rFonts w:hint="eastAsia"/>
          <w:lang w:val="en-US" w:eastAsia="zh-CN"/>
        </w:rPr>
        <w:t>得分</w:t>
      </w:r>
      <w:r>
        <w:rPr>
          <w:rFonts w:hint="eastAsia"/>
        </w:rPr>
        <w:t>60</w:t>
      </w:r>
      <w:r>
        <w:rPr>
          <w:rFonts w:hint="eastAsia"/>
          <w:lang w:eastAsia="zh-CN"/>
        </w:rPr>
        <w:t>（</w:t>
      </w:r>
      <w:r>
        <w:rPr>
          <w:rFonts w:hint="eastAsia"/>
          <w:lang w:val="en-US" w:eastAsia="zh-CN"/>
        </w:rPr>
        <w:t>含</w:t>
      </w:r>
      <w:r>
        <w:rPr>
          <w:rFonts w:hint="eastAsia"/>
          <w:lang w:eastAsia="zh-CN"/>
        </w:rPr>
        <w:t>）</w:t>
      </w:r>
      <w:r>
        <w:t>-70</w:t>
      </w:r>
      <w:r>
        <w:rPr>
          <w:rFonts w:hint="eastAsia"/>
        </w:rPr>
        <w:t>分，支付当次考核周期服务费</w:t>
      </w:r>
      <w:r>
        <w:t>70</w:t>
      </w:r>
      <w:r>
        <w:rPr>
          <w:rFonts w:hint="eastAsia"/>
        </w:rPr>
        <w:t>%；</w:t>
      </w:r>
    </w:p>
    <w:p w14:paraId="1EB60EBA">
      <w:pPr>
        <w:ind w:firstLine="560"/>
        <w:rPr/>
      </w:pPr>
      <w:r>
        <w:rPr>
          <w:rFonts w:hint="eastAsia"/>
        </w:rPr>
        <w:t>5</w:t>
      </w:r>
      <w:r>
        <w:t>)60</w:t>
      </w:r>
      <w:r>
        <w:rPr>
          <w:rFonts w:hint="eastAsia"/>
        </w:rPr>
        <w:t>分以下，不支付当次考核周期服务费。</w:t>
      </w:r>
    </w:p>
    <w:p w14:paraId="6A1C4566">
      <w:pPr>
        <w:ind w:firstLine="560"/>
      </w:pPr>
    </w:p>
    <w:p w14:paraId="5D3CAF23">
      <w:pPr>
        <w:ind w:firstLine="560"/>
      </w:pPr>
      <w:r>
        <w:br w:type="page"/>
      </w:r>
    </w:p>
    <w:p w14:paraId="2EC2E90F">
      <w:pPr>
        <w:keepNext/>
        <w:keepLines/>
        <w:numPr>
          <w:ilvl w:val="1"/>
          <w:numId w:val="0"/>
        </w:numPr>
        <w:spacing w:before="260" w:after="260" w:line="413" w:lineRule="auto"/>
        <w:jc w:val="both"/>
        <w:outlineLvl w:val="1"/>
        <w:rPr>
          <w:rFonts w:hint="eastAsia" w:ascii="Arial" w:hAnsi="Arial" w:eastAsia="黑体" w:cstheme="minorBidi"/>
          <w:b w:val="0"/>
          <w:bCs/>
          <w:kern w:val="2"/>
          <w:sz w:val="32"/>
          <w:szCs w:val="22"/>
          <w:lang w:val="en-US" w:eastAsia="zh-CN" w:bidi="ar-SA"/>
        </w:rPr>
      </w:pPr>
      <w:r>
        <w:rPr>
          <w:rFonts w:hint="eastAsia" w:ascii="Arial" w:hAnsi="Arial" w:eastAsia="黑体" w:cstheme="minorBidi"/>
          <w:b w:val="0"/>
          <w:bCs/>
          <w:kern w:val="2"/>
          <w:sz w:val="32"/>
          <w:szCs w:val="22"/>
          <w:lang w:val="en-US" w:eastAsia="zh-CN" w:bidi="ar-SA"/>
        </w:rPr>
        <w:t xml:space="preserve">附件一 </w:t>
      </w:r>
    </w:p>
    <w:p w14:paraId="1A103736">
      <w:pPr>
        <w:pStyle w:val="4"/>
        <w:numPr>
          <w:ilvl w:val="1"/>
          <w:numId w:val="0"/>
        </w:numPr>
        <w:ind w:left="180"/>
      </w:pPr>
      <w:r>
        <w:rPr>
          <w:rFonts w:hint="eastAsia" w:ascii="Arial" w:hAnsi="Arial" w:eastAsia="黑体" w:cstheme="minorBidi"/>
          <w:b w:val="0"/>
          <w:bCs/>
          <w:kern w:val="2"/>
          <w:sz w:val="32"/>
          <w:szCs w:val="22"/>
          <w:lang w:val="en-US" w:eastAsia="zh-CN" w:bidi="ar-SA"/>
        </w:rPr>
        <w:t>智慧医院建设项目（包件</w:t>
      </w:r>
      <w:r>
        <w:rPr>
          <w:rFonts w:hint="eastAsia" w:ascii="Arial" w:hAnsi="Arial" w:cstheme="minorBidi"/>
          <w:b w:val="0"/>
          <w:bCs/>
          <w:kern w:val="2"/>
          <w:sz w:val="32"/>
          <w:szCs w:val="22"/>
          <w:lang w:val="en-US" w:eastAsia="zh-CN" w:bidi="ar-SA"/>
        </w:rPr>
        <w:t>1</w:t>
      </w:r>
      <w:r>
        <w:rPr>
          <w:rFonts w:hint="eastAsia" w:ascii="Arial" w:hAnsi="Arial" w:eastAsia="黑体" w:cstheme="minorBidi"/>
          <w:b w:val="0"/>
          <w:bCs/>
          <w:kern w:val="2"/>
          <w:sz w:val="32"/>
          <w:szCs w:val="22"/>
          <w:lang w:val="en-US" w:eastAsia="zh-CN" w:bidi="ar-SA"/>
        </w:rPr>
        <w:t>）中系统、设备清单明细表</w:t>
      </w:r>
    </w:p>
    <w:tbl>
      <w:tblPr>
        <w:tblStyle w:val="16"/>
        <w:tblW w:w="0" w:type="auto"/>
        <w:tblInd w:w="0" w:type="dxa"/>
        <w:tblLayout w:type="fixed"/>
        <w:tblCellMar>
          <w:top w:w="0" w:type="dxa"/>
          <w:left w:w="108" w:type="dxa"/>
          <w:bottom w:w="0" w:type="dxa"/>
          <w:right w:w="108" w:type="dxa"/>
        </w:tblCellMar>
      </w:tblPr>
      <w:tblGrid>
        <w:gridCol w:w="999"/>
        <w:gridCol w:w="1141"/>
        <w:gridCol w:w="1152"/>
        <w:gridCol w:w="687"/>
        <w:gridCol w:w="993"/>
        <w:gridCol w:w="3202"/>
      </w:tblGrid>
      <w:tr w14:paraId="1ED3E3ED">
        <w:tblPrEx>
          <w:tblCellMar>
            <w:top w:w="0" w:type="dxa"/>
            <w:left w:w="108" w:type="dxa"/>
            <w:bottom w:w="0" w:type="dxa"/>
            <w:right w:w="108" w:type="dxa"/>
          </w:tblCellMar>
        </w:tblPrEx>
        <w:trPr>
          <w:trHeight w:val="349"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6D25">
            <w:pPr>
              <w:ind w:firstLine="0" w:firstLineChars="0"/>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设备名称</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0ECA">
            <w:pPr>
              <w:ind w:firstLine="0" w:firstLineChars="0"/>
              <w:jc w:val="left"/>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规格型号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6F18">
            <w:pPr>
              <w:ind w:firstLine="0" w:firstLineChars="0"/>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品牌</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3C57">
            <w:pPr>
              <w:ind w:firstLine="0" w:firstLineChars="0"/>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E785">
            <w:pPr>
              <w:ind w:firstLine="0" w:firstLineChars="0"/>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数量</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DE1A">
            <w:pPr>
              <w:ind w:firstLine="0" w:firstLineChars="0"/>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功能说明</w:t>
            </w:r>
          </w:p>
        </w:tc>
      </w:tr>
      <w:tr w14:paraId="10D4EC45">
        <w:tblPrEx>
          <w:tblCellMar>
            <w:top w:w="0" w:type="dxa"/>
            <w:left w:w="108" w:type="dxa"/>
            <w:bottom w:w="0" w:type="dxa"/>
            <w:right w:w="108" w:type="dxa"/>
          </w:tblCellMar>
        </w:tblPrEx>
        <w:trPr>
          <w:trHeight w:val="648"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86EA">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物联网基础设施管理系统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F053E">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7E64">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爱达</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2FC9">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BCA6">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5F88">
            <w:pPr>
              <w:ind w:firstLine="0" w:firstLineChars="0"/>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物联网基础设施管理系统保障了各系统之间的数据传输与存储的稳定性和安全性，实现数据统一化管理</w:t>
            </w:r>
          </w:p>
        </w:tc>
      </w:tr>
      <w:tr w14:paraId="689DE837">
        <w:tblPrEx>
          <w:tblCellMar>
            <w:top w:w="0" w:type="dxa"/>
            <w:left w:w="108" w:type="dxa"/>
            <w:bottom w:w="0" w:type="dxa"/>
            <w:right w:w="108" w:type="dxa"/>
          </w:tblCellMar>
        </w:tblPrEx>
        <w:trPr>
          <w:trHeight w:val="648"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9C08">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智慧物联网医院应用支撑平台</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684C6">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F2CA">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爱达</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84BC">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2ED8">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3AAD">
            <w:pPr>
              <w:ind w:firstLine="0" w:firstLineChars="0"/>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智慧物联网医院应用支撑平台是全院统一物联底座，解决院内监护、设备、人员、物资、后勤、安防多类物联网。</w:t>
            </w:r>
          </w:p>
        </w:tc>
      </w:tr>
      <w:tr w14:paraId="5B9F96A5">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5C84">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后勤综合运维管理系统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7DA5">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11DC">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中控</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27B2">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52A2">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ACF9">
            <w:pPr>
              <w:ind w:firstLine="0" w:firstLineChars="0"/>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后勤综合管理系统借助于物联网、互联网、大数据、人工智能技术，结合医院业务的特点在医院的能效管理、医疗环境管理、设备运行安全、基于BIM的三维运维模型、运维工作流程、运维人员管理等方面实现智慧化运行</w:t>
            </w:r>
          </w:p>
        </w:tc>
      </w:tr>
      <w:tr w14:paraId="41D84288">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71B9">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运维服务质量管理系统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A64C">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21C7">
            <w:pPr>
              <w:ind w:firstLine="0" w:firstLineChars="0"/>
              <w:textAlignment w:val="center"/>
              <w:rPr>
                <w:rFonts w:ascii="宋体" w:hAnsi="宋体" w:cs="宋体"/>
                <w:color w:val="000000"/>
                <w:sz w:val="18"/>
                <w:szCs w:val="18"/>
              </w:rPr>
            </w:pPr>
            <w:r>
              <w:rPr>
                <w:rFonts w:hint="eastAsia" w:ascii="宋体" w:hAnsi="宋体" w:cs="宋体"/>
                <w:color w:val="000000"/>
                <w:sz w:val="18"/>
                <w:szCs w:val="18"/>
              </w:rPr>
              <w:t>惠优</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1CC7">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D48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2184">
            <w:pPr>
              <w:ind w:firstLine="0" w:firstLineChars="0"/>
              <w:textAlignment w:val="center"/>
              <w:rPr>
                <w:rFonts w:ascii="宋体" w:hAnsi="宋体" w:cs="宋体"/>
                <w:color w:val="000000"/>
                <w:kern w:val="0"/>
                <w:sz w:val="18"/>
                <w:szCs w:val="18"/>
                <w:lang w:bidi="ar"/>
              </w:rPr>
            </w:pPr>
          </w:p>
        </w:tc>
      </w:tr>
      <w:tr w14:paraId="20CCF4B3">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10DB">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医废管理系统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6790">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V2.0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8214">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0FAC">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13B0">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5F49">
            <w:pPr>
              <w:ind w:firstLine="0" w:firstLineChars="0"/>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医废管理系统对医疗垃圾的回收、称重、分类包装、运输等环节进行信息化管理，对医疗垃圾包的存放、产生情况实行监控。</w:t>
            </w:r>
          </w:p>
        </w:tc>
      </w:tr>
      <w:tr w14:paraId="51112EFD">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FB02">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平安医院系统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7661">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V4.0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5920">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C40F">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80E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8407">
            <w:pPr>
              <w:ind w:firstLine="360"/>
              <w:jc w:val="center"/>
              <w:textAlignment w:val="center"/>
              <w:rPr>
                <w:rFonts w:ascii="宋体" w:hAnsi="宋体" w:cs="宋体"/>
                <w:color w:val="000000"/>
                <w:kern w:val="0"/>
                <w:sz w:val="18"/>
                <w:szCs w:val="18"/>
                <w:lang w:bidi="ar"/>
              </w:rPr>
            </w:pPr>
          </w:p>
        </w:tc>
      </w:tr>
      <w:tr w14:paraId="7DFB18E3">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D963">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5G院内智能导航系统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8B03">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28A5">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爱达</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B7AB">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5D68">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5E19">
            <w:pPr>
              <w:ind w:firstLine="360"/>
              <w:jc w:val="center"/>
              <w:textAlignment w:val="center"/>
              <w:rPr>
                <w:rFonts w:ascii="宋体" w:hAnsi="宋体" w:cs="宋体"/>
                <w:color w:val="000000"/>
                <w:kern w:val="0"/>
                <w:sz w:val="18"/>
                <w:szCs w:val="18"/>
                <w:lang w:bidi="ar"/>
              </w:rPr>
            </w:pPr>
          </w:p>
        </w:tc>
      </w:tr>
      <w:tr w14:paraId="2964E001">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C371">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5G智慧物流机器人</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C735">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极光</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88C0">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易普森</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B3D9">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A2DF">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76E7">
            <w:pPr>
              <w:ind w:firstLine="360"/>
              <w:jc w:val="center"/>
              <w:textAlignment w:val="center"/>
              <w:rPr>
                <w:rFonts w:ascii="宋体" w:hAnsi="宋体" w:cs="宋体"/>
                <w:color w:val="000000"/>
                <w:kern w:val="0"/>
                <w:sz w:val="18"/>
                <w:szCs w:val="18"/>
                <w:lang w:bidi="ar"/>
              </w:rPr>
            </w:pPr>
          </w:p>
        </w:tc>
      </w:tr>
      <w:tr w14:paraId="75416CFA">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272D">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5G预问诊服务</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4E10">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D00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朗通</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B270">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F089">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654F">
            <w:pPr>
              <w:ind w:firstLine="360"/>
              <w:jc w:val="center"/>
              <w:textAlignment w:val="center"/>
              <w:rPr>
                <w:rFonts w:ascii="宋体" w:hAnsi="宋体" w:cs="宋体"/>
                <w:color w:val="000000"/>
                <w:kern w:val="0"/>
                <w:sz w:val="18"/>
                <w:szCs w:val="18"/>
                <w:lang w:bidi="ar"/>
              </w:rPr>
            </w:pPr>
          </w:p>
        </w:tc>
      </w:tr>
      <w:tr w14:paraId="36B19799">
        <w:tblPrEx>
          <w:tblCellMar>
            <w:top w:w="0" w:type="dxa"/>
            <w:left w:w="108" w:type="dxa"/>
            <w:bottom w:w="0" w:type="dxa"/>
            <w:right w:w="108" w:type="dxa"/>
          </w:tblCellMar>
        </w:tblPrEx>
        <w:trPr>
          <w:trHeight w:val="456"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273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智慧停车系统</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E863">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DH-DSS-H8900S3-B</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1772">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1377">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0736">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F78B">
            <w:pPr>
              <w:ind w:firstLine="360"/>
              <w:jc w:val="center"/>
              <w:textAlignment w:val="center"/>
              <w:rPr>
                <w:rFonts w:ascii="宋体" w:hAnsi="宋体" w:cs="宋体"/>
                <w:color w:val="000000"/>
                <w:kern w:val="0"/>
                <w:sz w:val="18"/>
                <w:szCs w:val="18"/>
                <w:lang w:bidi="ar"/>
              </w:rPr>
            </w:pPr>
          </w:p>
        </w:tc>
      </w:tr>
      <w:tr w14:paraId="5A62F98E">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EA95">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基于5G的物联网基站</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9E7F">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AD-DZ</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C8EA">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爱达</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5D27">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727D">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4000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F118">
            <w:pPr>
              <w:ind w:firstLine="360"/>
              <w:jc w:val="center"/>
              <w:textAlignment w:val="center"/>
              <w:rPr>
                <w:rFonts w:ascii="宋体" w:hAnsi="宋体" w:cs="宋体"/>
                <w:color w:val="000000"/>
                <w:kern w:val="0"/>
                <w:sz w:val="18"/>
                <w:szCs w:val="18"/>
                <w:lang w:bidi="ar"/>
              </w:rPr>
            </w:pPr>
          </w:p>
        </w:tc>
      </w:tr>
      <w:tr w14:paraId="429B870A">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2398">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综合指挥中心大屏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FD82">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P2.5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B80A">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艾比森</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F21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3968">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D34F">
            <w:pPr>
              <w:ind w:firstLine="360"/>
              <w:jc w:val="center"/>
              <w:textAlignment w:val="center"/>
              <w:rPr>
                <w:rFonts w:ascii="宋体" w:hAnsi="宋体" w:cs="宋体"/>
                <w:color w:val="000000"/>
                <w:kern w:val="0"/>
                <w:sz w:val="18"/>
                <w:szCs w:val="18"/>
                <w:lang w:bidi="ar"/>
              </w:rPr>
            </w:pPr>
          </w:p>
        </w:tc>
      </w:tr>
      <w:tr w14:paraId="4E3A9E65">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729B">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55英寸显示屏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31F9">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55寸</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73A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深圳德威</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FF50">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FB7D">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EAD6">
            <w:pPr>
              <w:ind w:firstLine="360"/>
              <w:jc w:val="center"/>
              <w:textAlignment w:val="center"/>
              <w:rPr>
                <w:rFonts w:ascii="宋体" w:hAnsi="宋体" w:cs="宋体"/>
                <w:color w:val="000000"/>
                <w:kern w:val="0"/>
                <w:sz w:val="18"/>
                <w:szCs w:val="18"/>
                <w:lang w:bidi="ar"/>
              </w:rPr>
            </w:pPr>
          </w:p>
        </w:tc>
      </w:tr>
      <w:tr w14:paraId="6861E825">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D9AB">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资产定位标签</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FE19">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E-AL01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E7F2">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52D4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E39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6000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73CE">
            <w:pPr>
              <w:ind w:firstLine="360"/>
              <w:jc w:val="center"/>
              <w:textAlignment w:val="center"/>
              <w:rPr>
                <w:rFonts w:ascii="宋体" w:hAnsi="宋体" w:cs="宋体"/>
                <w:color w:val="000000"/>
                <w:kern w:val="0"/>
                <w:sz w:val="18"/>
                <w:szCs w:val="18"/>
                <w:lang w:bidi="ar"/>
              </w:rPr>
            </w:pPr>
          </w:p>
        </w:tc>
      </w:tr>
      <w:tr w14:paraId="59352BB9">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4D78">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 xml:space="preserve">无线入侵报警点  </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5279">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E-RU300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2012">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2C1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0CAD">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250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7AED">
            <w:pPr>
              <w:ind w:firstLine="360"/>
              <w:jc w:val="center"/>
              <w:textAlignment w:val="center"/>
              <w:rPr>
                <w:rFonts w:ascii="宋体" w:hAnsi="宋体" w:cs="宋体"/>
                <w:color w:val="000000"/>
                <w:kern w:val="0"/>
                <w:sz w:val="18"/>
                <w:szCs w:val="18"/>
                <w:lang w:bidi="ar"/>
              </w:rPr>
            </w:pPr>
          </w:p>
        </w:tc>
      </w:tr>
      <w:tr w14:paraId="3B2994B5">
        <w:tblPrEx>
          <w:tblCellMar>
            <w:top w:w="0" w:type="dxa"/>
            <w:left w:w="108" w:type="dxa"/>
            <w:bottom w:w="0" w:type="dxa"/>
            <w:right w:w="108" w:type="dxa"/>
          </w:tblCellMar>
        </w:tblPrEx>
        <w:trPr>
          <w:trHeight w:val="471"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491F">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巡更机</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D6E30">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V790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8213">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888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346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F172">
            <w:pPr>
              <w:ind w:firstLine="360"/>
              <w:jc w:val="center"/>
              <w:textAlignment w:val="center"/>
              <w:rPr>
                <w:rFonts w:ascii="宋体" w:hAnsi="宋体" w:cs="宋体"/>
                <w:color w:val="000000"/>
                <w:kern w:val="0"/>
                <w:sz w:val="18"/>
                <w:szCs w:val="18"/>
                <w:lang w:bidi="ar"/>
              </w:rPr>
            </w:pPr>
          </w:p>
        </w:tc>
      </w:tr>
      <w:tr w14:paraId="7F715145">
        <w:tblPrEx>
          <w:tblCellMar>
            <w:top w:w="0" w:type="dxa"/>
            <w:left w:w="108" w:type="dxa"/>
            <w:bottom w:w="0" w:type="dxa"/>
            <w:right w:w="108" w:type="dxa"/>
          </w:tblCellMar>
        </w:tblPrEx>
        <w:trPr>
          <w:trHeight w:val="288"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FED3">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定位器</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AA93">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E-RL100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FB0E">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FECB">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764C">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EA95">
            <w:pPr>
              <w:ind w:firstLine="360"/>
              <w:jc w:val="center"/>
              <w:textAlignment w:val="center"/>
              <w:rPr>
                <w:rFonts w:ascii="宋体" w:hAnsi="宋体" w:cs="宋体"/>
                <w:color w:val="000000"/>
                <w:kern w:val="0"/>
                <w:sz w:val="18"/>
                <w:szCs w:val="18"/>
                <w:lang w:bidi="ar"/>
              </w:rPr>
            </w:pPr>
          </w:p>
        </w:tc>
      </w:tr>
      <w:tr w14:paraId="10CE2A9D">
        <w:tblPrEx>
          <w:tblCellMar>
            <w:top w:w="0" w:type="dxa"/>
            <w:left w:w="108" w:type="dxa"/>
            <w:bottom w:w="0" w:type="dxa"/>
            <w:right w:w="108" w:type="dxa"/>
          </w:tblCellMar>
        </w:tblPrEx>
        <w:trPr>
          <w:trHeight w:val="288"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60D6">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 xml:space="preserve">巡更点 </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A706">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E-RL110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D49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2152">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028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250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4719">
            <w:pPr>
              <w:ind w:firstLine="360"/>
              <w:jc w:val="center"/>
              <w:textAlignment w:val="center"/>
              <w:rPr>
                <w:rFonts w:ascii="宋体" w:hAnsi="宋体" w:cs="宋体"/>
                <w:color w:val="000000"/>
                <w:kern w:val="0"/>
                <w:sz w:val="18"/>
                <w:szCs w:val="18"/>
                <w:lang w:bidi="ar"/>
              </w:rPr>
            </w:pPr>
          </w:p>
        </w:tc>
      </w:tr>
      <w:tr w14:paraId="0A8F6CC6">
        <w:tblPrEx>
          <w:tblCellMar>
            <w:top w:w="0" w:type="dxa"/>
            <w:left w:w="108" w:type="dxa"/>
            <w:bottom w:w="0" w:type="dxa"/>
            <w:right w:w="108" w:type="dxa"/>
          </w:tblCellMar>
        </w:tblPrEx>
        <w:trPr>
          <w:trHeight w:val="43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844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医护、后勤人员标签</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AD1C">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E-SB01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4D9F">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智尔</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56EB">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07C5">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3500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9AB2">
            <w:pPr>
              <w:ind w:firstLine="360"/>
              <w:jc w:val="center"/>
              <w:textAlignment w:val="center"/>
              <w:rPr>
                <w:rFonts w:ascii="宋体" w:hAnsi="宋体" w:cs="宋体"/>
                <w:color w:val="000000"/>
                <w:kern w:val="0"/>
                <w:sz w:val="18"/>
                <w:szCs w:val="18"/>
                <w:lang w:bidi="ar"/>
              </w:rPr>
            </w:pPr>
          </w:p>
        </w:tc>
      </w:tr>
      <w:tr w14:paraId="0CD46BE4">
        <w:tblPrEx>
          <w:tblCellMar>
            <w:top w:w="0" w:type="dxa"/>
            <w:left w:w="108" w:type="dxa"/>
            <w:bottom w:w="0" w:type="dxa"/>
            <w:right w:w="108" w:type="dxa"/>
          </w:tblCellMar>
        </w:tblPrEx>
        <w:trPr>
          <w:trHeight w:val="91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8300">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单双车位检测器</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11AC">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DH-ITC214-PH3A-F3-PON</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908A">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03FE351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D38C">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262</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9A81">
            <w:pPr>
              <w:ind w:firstLine="360"/>
              <w:jc w:val="center"/>
              <w:textAlignment w:val="center"/>
              <w:rPr>
                <w:rFonts w:ascii="宋体" w:hAnsi="宋体" w:cs="宋体"/>
                <w:color w:val="000000"/>
                <w:kern w:val="0"/>
                <w:sz w:val="18"/>
                <w:szCs w:val="18"/>
                <w:lang w:bidi="ar"/>
              </w:rPr>
            </w:pPr>
          </w:p>
        </w:tc>
      </w:tr>
      <w:tr w14:paraId="61BF2EBB">
        <w:tblPrEx>
          <w:tblCellMar>
            <w:top w:w="0" w:type="dxa"/>
            <w:left w:w="108" w:type="dxa"/>
            <w:bottom w:w="0" w:type="dxa"/>
            <w:right w:w="108" w:type="dxa"/>
          </w:tblCellMar>
        </w:tblPrEx>
        <w:trPr>
          <w:trHeight w:val="91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EE33">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三车位检测器</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648A">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DH-ITC314-PH3A-F2-PON</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D5A9">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475D95D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F88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264</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161A">
            <w:pPr>
              <w:ind w:firstLine="360"/>
              <w:jc w:val="center"/>
              <w:textAlignment w:val="center"/>
              <w:rPr>
                <w:rFonts w:ascii="宋体" w:hAnsi="宋体" w:cs="宋体"/>
                <w:color w:val="000000"/>
                <w:kern w:val="0"/>
                <w:sz w:val="18"/>
                <w:szCs w:val="18"/>
                <w:lang w:bidi="ar"/>
              </w:rPr>
            </w:pPr>
          </w:p>
        </w:tc>
      </w:tr>
      <w:tr w14:paraId="554E03B3">
        <w:tblPrEx>
          <w:tblCellMar>
            <w:top w:w="0" w:type="dxa"/>
            <w:left w:w="108" w:type="dxa"/>
            <w:bottom w:w="0" w:type="dxa"/>
            <w:right w:w="108" w:type="dxa"/>
          </w:tblCellMar>
        </w:tblPrEx>
        <w:trPr>
          <w:trHeight w:val="684"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F40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室内单向引导屏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2643">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DH-IPMPGI-110AC</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FD42">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1AA3981C">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E5C5">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21</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9854">
            <w:pPr>
              <w:ind w:firstLine="360"/>
              <w:jc w:val="center"/>
              <w:textAlignment w:val="center"/>
              <w:rPr>
                <w:rFonts w:ascii="宋体" w:hAnsi="宋体" w:cs="宋体"/>
                <w:color w:val="000000"/>
                <w:kern w:val="0"/>
                <w:sz w:val="18"/>
                <w:szCs w:val="18"/>
                <w:lang w:bidi="ar"/>
              </w:rPr>
            </w:pPr>
          </w:p>
        </w:tc>
      </w:tr>
      <w:tr w14:paraId="04137E12">
        <w:tblPrEx>
          <w:tblCellMar>
            <w:top w:w="0" w:type="dxa"/>
            <w:left w:w="108" w:type="dxa"/>
            <w:bottom w:w="0" w:type="dxa"/>
            <w:right w:w="108" w:type="dxa"/>
          </w:tblCellMar>
        </w:tblPrEx>
        <w:trPr>
          <w:trHeight w:val="684"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2214">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室内双向引导屏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4234">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DH-IPMPGI-120AC</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EEE3">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5D6A8BCD">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7736">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25</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6A79">
            <w:pPr>
              <w:ind w:firstLine="360"/>
              <w:jc w:val="center"/>
              <w:textAlignment w:val="center"/>
              <w:rPr>
                <w:rFonts w:ascii="宋体" w:hAnsi="宋体" w:cs="宋体"/>
                <w:color w:val="000000"/>
                <w:kern w:val="0"/>
                <w:sz w:val="18"/>
                <w:szCs w:val="18"/>
                <w:lang w:bidi="ar"/>
              </w:rPr>
            </w:pPr>
          </w:p>
        </w:tc>
      </w:tr>
      <w:tr w14:paraId="3CAF0DA0">
        <w:tblPrEx>
          <w:tblCellMar>
            <w:top w:w="0" w:type="dxa"/>
            <w:left w:w="108" w:type="dxa"/>
            <w:bottom w:w="0" w:type="dxa"/>
            <w:right w:w="108" w:type="dxa"/>
          </w:tblCellMar>
        </w:tblPrEx>
        <w:trPr>
          <w:trHeight w:val="684"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530C">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室内三向引导屏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C624">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 xml:space="preserve">DH-IPMPGI-130AC </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1D80">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60F545C6">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0C6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AA16">
            <w:pPr>
              <w:ind w:firstLine="360"/>
              <w:jc w:val="center"/>
              <w:textAlignment w:val="center"/>
              <w:rPr>
                <w:rFonts w:ascii="宋体" w:hAnsi="宋体" w:cs="宋体"/>
                <w:color w:val="000000"/>
                <w:kern w:val="0"/>
                <w:sz w:val="18"/>
                <w:szCs w:val="18"/>
                <w:lang w:bidi="ar"/>
              </w:rPr>
            </w:pPr>
          </w:p>
        </w:tc>
      </w:tr>
      <w:tr w14:paraId="32101ABF">
        <w:tblPrEx>
          <w:tblCellMar>
            <w:top w:w="0" w:type="dxa"/>
            <w:left w:w="108" w:type="dxa"/>
            <w:bottom w:w="0" w:type="dxa"/>
            <w:right w:w="108" w:type="dxa"/>
          </w:tblCellMar>
        </w:tblPrEx>
        <w:trPr>
          <w:trHeight w:val="684"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194A">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反向寻车机</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725F">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DH-IPMPGS-220A-AD</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2D26">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14C14003">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2F7E">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2470">
            <w:pPr>
              <w:ind w:firstLine="360"/>
              <w:jc w:val="center"/>
              <w:textAlignment w:val="center"/>
              <w:rPr>
                <w:rFonts w:ascii="宋体" w:hAnsi="宋体" w:cs="宋体"/>
                <w:color w:val="000000"/>
                <w:kern w:val="0"/>
                <w:sz w:val="18"/>
                <w:szCs w:val="18"/>
                <w:lang w:bidi="ar"/>
              </w:rPr>
            </w:pPr>
          </w:p>
        </w:tc>
      </w:tr>
      <w:tr w14:paraId="3CE01BC5">
        <w:trPr>
          <w:trHeight w:val="684"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472E">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立式余位屏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E6D5">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DH-IPMPGI-230AB</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5E85">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7326B50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5910">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A2A8">
            <w:pPr>
              <w:ind w:firstLine="360"/>
              <w:jc w:val="center"/>
              <w:textAlignment w:val="center"/>
              <w:rPr>
                <w:rFonts w:ascii="宋体" w:hAnsi="宋体" w:cs="宋体"/>
                <w:color w:val="000000"/>
                <w:kern w:val="0"/>
                <w:sz w:val="18"/>
                <w:szCs w:val="18"/>
                <w:lang w:bidi="ar"/>
              </w:rPr>
            </w:pPr>
          </w:p>
        </w:tc>
      </w:tr>
      <w:tr w14:paraId="3EB736B4">
        <w:tblPrEx>
          <w:tblCellMar>
            <w:top w:w="0" w:type="dxa"/>
            <w:left w:w="108" w:type="dxa"/>
            <w:bottom w:w="0" w:type="dxa"/>
            <w:right w:w="108" w:type="dxa"/>
          </w:tblCellMar>
        </w:tblPrEx>
        <w:trPr>
          <w:trHeight w:val="91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8A3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停车场终端管理设备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FDD6">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DH-IPMSA-6404-GN3A-B</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71E3">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248E0273">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271C">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A5A6">
            <w:pPr>
              <w:ind w:firstLine="360"/>
              <w:jc w:val="center"/>
              <w:textAlignment w:val="center"/>
              <w:rPr>
                <w:rFonts w:ascii="宋体" w:hAnsi="宋体" w:cs="宋体"/>
                <w:color w:val="000000"/>
                <w:kern w:val="0"/>
                <w:sz w:val="18"/>
                <w:szCs w:val="18"/>
                <w:lang w:bidi="ar"/>
              </w:rPr>
            </w:pPr>
          </w:p>
        </w:tc>
      </w:tr>
      <w:tr w14:paraId="63E648FE">
        <w:tblPrEx>
          <w:tblCellMar>
            <w:top w:w="0" w:type="dxa"/>
            <w:left w:w="108" w:type="dxa"/>
            <w:bottom w:w="0" w:type="dxa"/>
            <w:right w:w="108" w:type="dxa"/>
          </w:tblCellMar>
        </w:tblPrEx>
        <w:trPr>
          <w:trHeight w:val="456"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CEDD">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出入口防砸雷达</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16C6">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DH-ITSJC-2302-DC12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9E75">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1F242411">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D4D8">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0CB2">
            <w:pPr>
              <w:ind w:firstLine="360"/>
              <w:jc w:val="center"/>
              <w:textAlignment w:val="center"/>
              <w:rPr>
                <w:rFonts w:ascii="宋体" w:hAnsi="宋体" w:cs="宋体"/>
                <w:color w:val="000000"/>
                <w:kern w:val="0"/>
                <w:sz w:val="18"/>
                <w:szCs w:val="18"/>
                <w:lang w:bidi="ar"/>
              </w:rPr>
            </w:pPr>
          </w:p>
        </w:tc>
      </w:tr>
      <w:tr w14:paraId="3056AEB6">
        <w:tblPrEx>
          <w:tblCellMar>
            <w:top w:w="0" w:type="dxa"/>
            <w:left w:w="108" w:type="dxa"/>
            <w:bottom w:w="0" w:type="dxa"/>
            <w:right w:w="108" w:type="dxa"/>
          </w:tblCellMar>
        </w:tblPrEx>
        <w:trPr>
          <w:trHeight w:val="684"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5F77">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中文200W出入口杆式抓拍一体机</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93C2">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DH-IPMECS-2201D-F6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C7EA">
            <w:pPr>
              <w:ind w:firstLine="360"/>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31F5">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5A70">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7877">
            <w:pPr>
              <w:ind w:firstLine="360"/>
              <w:jc w:val="center"/>
              <w:textAlignment w:val="center"/>
              <w:rPr>
                <w:rFonts w:ascii="宋体" w:hAnsi="宋体" w:cs="宋体"/>
                <w:color w:val="000000"/>
                <w:kern w:val="0"/>
                <w:sz w:val="18"/>
                <w:szCs w:val="18"/>
                <w:lang w:bidi="ar"/>
              </w:rPr>
            </w:pPr>
          </w:p>
        </w:tc>
      </w:tr>
      <w:tr w14:paraId="116FE662">
        <w:tblPrEx>
          <w:tblCellMar>
            <w:top w:w="0" w:type="dxa"/>
            <w:left w:w="108" w:type="dxa"/>
            <w:bottom w:w="0" w:type="dxa"/>
            <w:right w:w="108" w:type="dxa"/>
          </w:tblCellMar>
        </w:tblPrEx>
        <w:trPr>
          <w:trHeight w:val="912" w:hRule="atLeast"/>
        </w:trPr>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977E">
            <w:pPr>
              <w:ind w:firstLine="0" w:firstLineChars="0"/>
              <w:textAlignment w:val="center"/>
              <w:rPr>
                <w:rFonts w:ascii="宋体" w:hAnsi="宋体" w:cs="宋体"/>
                <w:color w:val="000000"/>
                <w:sz w:val="18"/>
                <w:szCs w:val="18"/>
              </w:rPr>
            </w:pPr>
            <w:r>
              <w:rPr>
                <w:rFonts w:hint="eastAsia" w:ascii="宋体" w:hAnsi="宋体" w:cs="宋体"/>
                <w:color w:val="000000"/>
                <w:kern w:val="0"/>
                <w:sz w:val="18"/>
                <w:szCs w:val="18"/>
                <w:lang w:bidi="ar"/>
              </w:rPr>
              <w:t>中文直杆变频道闸主机</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A418">
            <w:pPr>
              <w:ind w:firstLine="0" w:firstLineChars="0"/>
              <w:jc w:val="left"/>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DH-IPMECD-2012-RM40-T20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D964">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大华</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737BEABD">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EC23">
            <w:pPr>
              <w:ind w:firstLine="3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DF23">
            <w:pPr>
              <w:ind w:firstLine="360"/>
              <w:jc w:val="center"/>
              <w:textAlignment w:val="center"/>
              <w:rPr>
                <w:rFonts w:ascii="宋体" w:hAnsi="宋体" w:cs="宋体"/>
                <w:color w:val="000000"/>
                <w:kern w:val="0"/>
                <w:sz w:val="18"/>
                <w:szCs w:val="18"/>
                <w:lang w:bidi="ar"/>
              </w:rPr>
            </w:pPr>
          </w:p>
        </w:tc>
      </w:tr>
    </w:tbl>
    <w:p w14:paraId="4515A37F">
      <w:pPr>
        <w:ind w:firstLine="560"/>
      </w:pPr>
      <w:r>
        <w:br w:type="page"/>
      </w:r>
    </w:p>
    <w:p w14:paraId="2B20408F">
      <w:pPr>
        <w:pStyle w:val="4"/>
        <w:numPr>
          <w:ilvl w:val="1"/>
          <w:numId w:val="0"/>
        </w:numPr>
      </w:pPr>
      <w:r>
        <w:rPr>
          <w:rFonts w:hint="eastAsia"/>
        </w:rPr>
        <w:t>附件二</w:t>
      </w:r>
    </w:p>
    <w:tbl>
      <w:tblPr>
        <w:tblStyle w:val="16"/>
        <w:tblW w:w="5000" w:type="pct"/>
        <w:tblInd w:w="0" w:type="dxa"/>
        <w:tblLayout w:type="autofit"/>
        <w:tblCellMar>
          <w:top w:w="15" w:type="dxa"/>
          <w:left w:w="108" w:type="dxa"/>
          <w:bottom w:w="0" w:type="dxa"/>
          <w:right w:w="108" w:type="dxa"/>
        </w:tblCellMar>
      </w:tblPr>
      <w:tblGrid>
        <w:gridCol w:w="986"/>
        <w:gridCol w:w="664"/>
        <w:gridCol w:w="2917"/>
        <w:gridCol w:w="986"/>
        <w:gridCol w:w="1567"/>
        <w:gridCol w:w="426"/>
        <w:gridCol w:w="754"/>
        <w:gridCol w:w="222"/>
      </w:tblGrid>
      <w:tr w14:paraId="06352CDA">
        <w:tblPrEx>
          <w:tblCellMar>
            <w:top w:w="15" w:type="dxa"/>
            <w:left w:w="108" w:type="dxa"/>
            <w:bottom w:w="0" w:type="dxa"/>
            <w:right w:w="108" w:type="dxa"/>
          </w:tblCellMar>
        </w:tblPrEx>
        <w:trPr>
          <w:gridAfter w:val="1"/>
          <w:wAfter w:w="144" w:type="dxa"/>
          <w:trHeight w:val="375" w:hRule="atLeast"/>
        </w:trPr>
        <w:tc>
          <w:tcPr>
            <w:tcW w:w="4941" w:type="pct"/>
            <w:gridSpan w:val="7"/>
            <w:tcBorders>
              <w:top w:val="nil"/>
              <w:left w:val="nil"/>
              <w:bottom w:val="nil"/>
              <w:right w:val="nil"/>
            </w:tcBorders>
            <w:vAlign w:val="center"/>
          </w:tcPr>
          <w:p w14:paraId="710AABB0">
            <w:pPr>
              <w:pStyle w:val="4"/>
              <w:keepNext/>
              <w:keepLines/>
              <w:pageBreakBefore w:val="0"/>
              <w:widowControl/>
              <w:numPr>
                <w:ilvl w:val="1"/>
                <w:numId w:val="0"/>
              </w:numPr>
              <w:kinsoku/>
              <w:wordWrap/>
              <w:overflowPunct/>
              <w:topLinePunct w:val="0"/>
              <w:autoSpaceDE/>
              <w:autoSpaceDN/>
              <w:bidi w:val="0"/>
              <w:adjustRightInd/>
              <w:snapToGrid/>
              <w:spacing w:before="0" w:after="0" w:line="413" w:lineRule="auto"/>
              <w:jc w:val="center"/>
              <w:textAlignment w:val="auto"/>
              <w:rPr>
                <w:rFonts w:hint="eastAsia"/>
              </w:rPr>
            </w:pPr>
            <w:r>
              <w:rPr>
                <w:rFonts w:hint="eastAsia"/>
              </w:rPr>
              <w:t xml:space="preserve">智慧医院建设项目（包件1）运维服务考核 </w:t>
            </w:r>
          </w:p>
          <w:p w14:paraId="3A1D0F72">
            <w:pPr>
              <w:pStyle w:val="4"/>
              <w:keepNext/>
              <w:keepLines/>
              <w:pageBreakBefore w:val="0"/>
              <w:widowControl/>
              <w:numPr>
                <w:ilvl w:val="1"/>
                <w:numId w:val="0"/>
              </w:numPr>
              <w:kinsoku/>
              <w:wordWrap/>
              <w:overflowPunct/>
              <w:topLinePunct w:val="0"/>
              <w:autoSpaceDE/>
              <w:autoSpaceDN/>
              <w:bidi w:val="0"/>
              <w:adjustRightInd/>
              <w:snapToGrid/>
              <w:spacing w:before="0" w:after="0" w:line="413" w:lineRule="auto"/>
              <w:jc w:val="center"/>
              <w:textAlignment w:val="auto"/>
            </w:pPr>
            <w:r>
              <w:rPr>
                <w:rFonts w:hint="eastAsia"/>
              </w:rPr>
              <w:t>（4个月为一个服务考核期）</w:t>
            </w:r>
          </w:p>
        </w:tc>
      </w:tr>
      <w:tr w14:paraId="7DAB3975">
        <w:tblPrEx>
          <w:tblCellMar>
            <w:top w:w="15" w:type="dxa"/>
            <w:left w:w="108" w:type="dxa"/>
            <w:bottom w:w="0" w:type="dxa"/>
            <w:right w:w="108" w:type="dxa"/>
          </w:tblCellMar>
        </w:tblPrEx>
        <w:trPr>
          <w:gridAfter w:val="1"/>
          <w:wAfter w:w="144" w:type="dxa"/>
          <w:trHeight w:val="270" w:hRule="atLeast"/>
        </w:trPr>
        <w:tc>
          <w:tcPr>
            <w:tcW w:w="4941" w:type="pct"/>
            <w:gridSpan w:val="7"/>
            <w:tcBorders>
              <w:top w:val="nil"/>
              <w:left w:val="nil"/>
              <w:bottom w:val="single" w:color="auto" w:sz="4" w:space="0"/>
              <w:right w:val="nil"/>
            </w:tcBorders>
            <w:vAlign w:val="center"/>
          </w:tcPr>
          <w:p w14:paraId="3E86A989">
            <w:pPr>
              <w:ind w:firstLine="44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（周期：    年  月  日-    年  月  日）</w:t>
            </w:r>
          </w:p>
        </w:tc>
      </w:tr>
      <w:tr w14:paraId="04DB3C3F">
        <w:tblPrEx>
          <w:tblCellMar>
            <w:top w:w="15" w:type="dxa"/>
            <w:left w:w="108" w:type="dxa"/>
            <w:bottom w:w="0" w:type="dxa"/>
            <w:right w:w="108" w:type="dxa"/>
          </w:tblCellMar>
        </w:tblPrEx>
        <w:trPr>
          <w:gridAfter w:val="1"/>
          <w:wAfter w:w="144" w:type="dxa"/>
          <w:trHeight w:val="270" w:hRule="atLeast"/>
        </w:trPr>
        <w:tc>
          <w:tcPr>
            <w:tcW w:w="284" w:type="pct"/>
            <w:tcBorders>
              <w:top w:val="single" w:color="auto" w:sz="4" w:space="0"/>
              <w:left w:val="single" w:color="auto" w:sz="4" w:space="0"/>
              <w:bottom w:val="single" w:color="auto" w:sz="4" w:space="0"/>
              <w:right w:val="single" w:color="auto" w:sz="4" w:space="0"/>
            </w:tcBorders>
            <w:vAlign w:val="center"/>
          </w:tcPr>
          <w:p w14:paraId="4CB92AF1">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考核类别</w:t>
            </w:r>
          </w:p>
        </w:tc>
        <w:tc>
          <w:tcPr>
            <w:tcW w:w="545" w:type="pct"/>
            <w:tcBorders>
              <w:top w:val="single" w:color="auto" w:sz="4" w:space="0"/>
              <w:left w:val="nil"/>
              <w:bottom w:val="single" w:color="auto" w:sz="4" w:space="0"/>
              <w:right w:val="single" w:color="auto" w:sz="4" w:space="0"/>
            </w:tcBorders>
            <w:vAlign w:val="center"/>
          </w:tcPr>
          <w:p w14:paraId="5CD0B02B">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考核项目</w:t>
            </w:r>
          </w:p>
        </w:tc>
        <w:tc>
          <w:tcPr>
            <w:tcW w:w="1867" w:type="pct"/>
            <w:tcBorders>
              <w:top w:val="single" w:color="auto" w:sz="4" w:space="0"/>
              <w:left w:val="nil"/>
              <w:bottom w:val="single" w:color="auto" w:sz="4" w:space="0"/>
              <w:right w:val="single" w:color="auto" w:sz="4" w:space="0"/>
            </w:tcBorders>
            <w:vAlign w:val="center"/>
          </w:tcPr>
          <w:p w14:paraId="56750803">
            <w:pPr>
              <w:ind w:firstLine="420"/>
              <w:jc w:val="center"/>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具体内容</w:t>
            </w:r>
          </w:p>
        </w:tc>
        <w:tc>
          <w:tcPr>
            <w:tcW w:w="169" w:type="pct"/>
            <w:tcBorders>
              <w:top w:val="single" w:color="auto" w:sz="4" w:space="0"/>
              <w:left w:val="nil"/>
              <w:bottom w:val="single" w:color="auto" w:sz="4" w:space="0"/>
              <w:right w:val="single" w:color="auto" w:sz="4" w:space="0"/>
            </w:tcBorders>
            <w:vAlign w:val="center"/>
          </w:tcPr>
          <w:p w14:paraId="023D9957">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分值</w:t>
            </w:r>
          </w:p>
        </w:tc>
        <w:tc>
          <w:tcPr>
            <w:tcW w:w="1074" w:type="pct"/>
            <w:tcBorders>
              <w:top w:val="single" w:color="auto" w:sz="4" w:space="0"/>
              <w:left w:val="nil"/>
              <w:bottom w:val="single" w:color="auto" w:sz="4" w:space="0"/>
              <w:right w:val="single" w:color="auto" w:sz="4" w:space="0"/>
            </w:tcBorders>
            <w:vAlign w:val="center"/>
          </w:tcPr>
          <w:p w14:paraId="0C3C8A01">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扣分办法</w:t>
            </w:r>
          </w:p>
        </w:tc>
        <w:tc>
          <w:tcPr>
            <w:tcW w:w="284" w:type="pct"/>
            <w:tcBorders>
              <w:top w:val="single" w:color="auto" w:sz="4" w:space="0"/>
              <w:left w:val="nil"/>
              <w:bottom w:val="single" w:color="auto" w:sz="4" w:space="0"/>
              <w:right w:val="single" w:color="auto" w:sz="4" w:space="0"/>
            </w:tcBorders>
            <w:vAlign w:val="center"/>
          </w:tcPr>
          <w:p w14:paraId="05B8D891">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考核得分</w:t>
            </w:r>
          </w:p>
        </w:tc>
        <w:tc>
          <w:tcPr>
            <w:tcW w:w="718" w:type="pct"/>
            <w:tcBorders>
              <w:top w:val="single" w:color="auto" w:sz="4" w:space="0"/>
              <w:left w:val="nil"/>
              <w:bottom w:val="single" w:color="auto" w:sz="4" w:space="0"/>
              <w:right w:val="single" w:color="auto" w:sz="4" w:space="0"/>
            </w:tcBorders>
            <w:vAlign w:val="center"/>
          </w:tcPr>
          <w:p w14:paraId="34D03106">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扣分原因</w:t>
            </w:r>
          </w:p>
        </w:tc>
      </w:tr>
      <w:tr w14:paraId="6EA73FE0">
        <w:tblPrEx>
          <w:tblCellMar>
            <w:top w:w="15" w:type="dxa"/>
            <w:left w:w="108" w:type="dxa"/>
            <w:bottom w:w="0" w:type="dxa"/>
            <w:right w:w="108" w:type="dxa"/>
          </w:tblCellMar>
        </w:tblPrEx>
        <w:trPr>
          <w:gridAfter w:val="1"/>
          <w:wAfter w:w="144" w:type="dxa"/>
          <w:trHeight w:val="810" w:hRule="atLeast"/>
        </w:trPr>
        <w:tc>
          <w:tcPr>
            <w:tcW w:w="284" w:type="pct"/>
            <w:tcBorders>
              <w:top w:val="single" w:color="auto" w:sz="4" w:space="0"/>
              <w:left w:val="single" w:color="auto" w:sz="4" w:space="0"/>
              <w:bottom w:val="single" w:color="auto" w:sz="4" w:space="0"/>
              <w:right w:val="single" w:color="auto" w:sz="4" w:space="0"/>
            </w:tcBorders>
            <w:vAlign w:val="center"/>
          </w:tcPr>
          <w:p w14:paraId="0CFEE2FC">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人员要求</w:t>
            </w:r>
          </w:p>
        </w:tc>
        <w:tc>
          <w:tcPr>
            <w:tcW w:w="545" w:type="pct"/>
            <w:tcBorders>
              <w:top w:val="single" w:color="auto" w:sz="4" w:space="0"/>
              <w:left w:val="nil"/>
              <w:bottom w:val="single" w:color="auto" w:sz="4" w:space="0"/>
              <w:right w:val="single" w:color="auto" w:sz="4" w:space="0"/>
            </w:tcBorders>
            <w:vAlign w:val="center"/>
          </w:tcPr>
          <w:p w14:paraId="12ADEEA9">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驻场运维人员要求</w:t>
            </w:r>
          </w:p>
        </w:tc>
        <w:tc>
          <w:tcPr>
            <w:tcW w:w="1867" w:type="pct"/>
            <w:tcBorders>
              <w:top w:val="single" w:color="auto" w:sz="4" w:space="0"/>
              <w:left w:val="nil"/>
              <w:bottom w:val="single" w:color="auto" w:sz="4" w:space="0"/>
              <w:right w:val="single" w:color="auto" w:sz="4" w:space="0"/>
            </w:tcBorders>
            <w:vAlign w:val="center"/>
          </w:tcPr>
          <w:p w14:paraId="6461CCF2">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运行维护服务期间需投标人安排2名工程师驻场专职负责本项目维护，经采购人确认后上岗，未经采购人同意不得抽调至其它项目或变更运行维护驻场工程师。</w:t>
            </w:r>
          </w:p>
        </w:tc>
        <w:tc>
          <w:tcPr>
            <w:tcW w:w="169" w:type="pct"/>
            <w:tcBorders>
              <w:top w:val="single" w:color="auto" w:sz="4" w:space="0"/>
              <w:left w:val="nil"/>
              <w:bottom w:val="single" w:color="auto" w:sz="4" w:space="0"/>
              <w:right w:val="single" w:color="auto" w:sz="4" w:space="0"/>
            </w:tcBorders>
            <w:vAlign w:val="center"/>
          </w:tcPr>
          <w:p w14:paraId="29DF5413">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10</w:t>
            </w:r>
          </w:p>
        </w:tc>
        <w:tc>
          <w:tcPr>
            <w:tcW w:w="1074" w:type="pct"/>
            <w:tcBorders>
              <w:top w:val="single" w:color="auto" w:sz="4" w:space="0"/>
              <w:left w:val="nil"/>
              <w:bottom w:val="single" w:color="auto" w:sz="4" w:space="0"/>
              <w:right w:val="single" w:color="auto" w:sz="4" w:space="0"/>
            </w:tcBorders>
            <w:vAlign w:val="center"/>
          </w:tcPr>
          <w:p w14:paraId="09ED87B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未经采购人同意抽调运行维护驻场工程师至其它项目或变更运行维护驻场工程师，每出现一次，扣5分，扣完为止。</w:t>
            </w:r>
          </w:p>
        </w:tc>
        <w:tc>
          <w:tcPr>
            <w:tcW w:w="284" w:type="pct"/>
            <w:tcBorders>
              <w:top w:val="single" w:color="auto" w:sz="4" w:space="0"/>
              <w:left w:val="nil"/>
              <w:bottom w:val="single" w:color="auto" w:sz="4" w:space="0"/>
              <w:right w:val="single" w:color="auto" w:sz="4" w:space="0"/>
            </w:tcBorders>
            <w:vAlign w:val="center"/>
          </w:tcPr>
          <w:p w14:paraId="01A20A25">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19F50074">
            <w:pPr>
              <w:ind w:firstLine="420"/>
              <w:jc w:val="left"/>
              <w:rPr>
                <w:rFonts w:ascii="宋体" w:hAnsi="宋体"/>
                <w:color w:val="000000" w:themeColor="text1"/>
                <w:sz w:val="21"/>
                <w:szCs w:val="21"/>
                <w14:textFill>
                  <w14:solidFill>
                    <w14:schemeClr w14:val="tx1"/>
                  </w14:solidFill>
                </w14:textFill>
              </w:rPr>
            </w:pPr>
          </w:p>
        </w:tc>
      </w:tr>
      <w:tr w14:paraId="397C0E01">
        <w:tblPrEx>
          <w:tblCellMar>
            <w:top w:w="15" w:type="dxa"/>
            <w:left w:w="108" w:type="dxa"/>
            <w:bottom w:w="0" w:type="dxa"/>
            <w:right w:w="108" w:type="dxa"/>
          </w:tblCellMar>
        </w:tblPrEx>
        <w:trPr>
          <w:gridAfter w:val="1"/>
          <w:wAfter w:w="144" w:type="dxa"/>
          <w:trHeight w:val="1620" w:hRule="atLeast"/>
        </w:trPr>
        <w:tc>
          <w:tcPr>
            <w:tcW w:w="284" w:type="pct"/>
            <w:vMerge w:val="restart"/>
            <w:tcBorders>
              <w:top w:val="nil"/>
              <w:left w:val="single" w:color="auto" w:sz="4" w:space="0"/>
              <w:bottom w:val="single" w:color="auto" w:sz="4" w:space="0"/>
              <w:right w:val="single" w:color="auto" w:sz="4" w:space="0"/>
            </w:tcBorders>
            <w:vAlign w:val="center"/>
          </w:tcPr>
          <w:p w14:paraId="038FFA09">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关键事件</w:t>
            </w:r>
          </w:p>
        </w:tc>
        <w:tc>
          <w:tcPr>
            <w:tcW w:w="545" w:type="pct"/>
            <w:tcBorders>
              <w:top w:val="single" w:color="auto" w:sz="4" w:space="0"/>
              <w:left w:val="nil"/>
              <w:bottom w:val="single" w:color="auto" w:sz="4" w:space="0"/>
              <w:right w:val="single" w:color="auto" w:sz="4" w:space="0"/>
            </w:tcBorders>
            <w:vAlign w:val="center"/>
          </w:tcPr>
          <w:p w14:paraId="795BF65A">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P0事件</w:t>
            </w:r>
          </w:p>
        </w:tc>
        <w:tc>
          <w:tcPr>
            <w:tcW w:w="1867" w:type="pct"/>
            <w:tcBorders>
              <w:top w:val="single" w:color="auto" w:sz="4" w:space="0"/>
              <w:left w:val="nil"/>
              <w:bottom w:val="single" w:color="auto" w:sz="4" w:space="0"/>
              <w:right w:val="single" w:color="auto" w:sz="4" w:space="0"/>
            </w:tcBorders>
            <w:vAlign w:val="center"/>
          </w:tcPr>
          <w:p w14:paraId="5B38C59B">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1.应用系统因非计划的数据库原因或应用系统自身故障原因造成宕机超过半小时的。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2.针对要求服务的内容，投标人驻场人员处理态度恶劣拒不执行，经采购人确认属实的。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3.对程序BUG没有响应或未按约定时间进行需求评估及方案确认，或者处理超出双方约定时间段15天仍无法完成的。</w:t>
            </w:r>
          </w:p>
          <w:p w14:paraId="0D14ACEA">
            <w:pPr>
              <w:widowControl w:val="0"/>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4.服务器因磁盘满、内存或进程占用极高等可以提前巡检发现的问题、却引起的业务中断超过半小时的。</w:t>
            </w:r>
          </w:p>
        </w:tc>
        <w:tc>
          <w:tcPr>
            <w:tcW w:w="169" w:type="pct"/>
            <w:tcBorders>
              <w:top w:val="single" w:color="auto" w:sz="4" w:space="0"/>
              <w:left w:val="nil"/>
              <w:bottom w:val="single" w:color="auto" w:sz="4" w:space="0"/>
              <w:right w:val="single" w:color="auto" w:sz="4" w:space="0"/>
            </w:tcBorders>
            <w:vAlign w:val="center"/>
          </w:tcPr>
          <w:p w14:paraId="2A3659A6">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15</w:t>
            </w:r>
          </w:p>
        </w:tc>
        <w:tc>
          <w:tcPr>
            <w:tcW w:w="1074" w:type="pct"/>
            <w:tcBorders>
              <w:top w:val="single" w:color="auto" w:sz="4" w:space="0"/>
              <w:left w:val="nil"/>
              <w:bottom w:val="single" w:color="auto" w:sz="4" w:space="0"/>
              <w:right w:val="single" w:color="auto" w:sz="4" w:space="0"/>
            </w:tcBorders>
            <w:vAlign w:val="center"/>
          </w:tcPr>
          <w:p w14:paraId="0B3A91CE">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每出现一次，扣5分，扣完为止，但仍要完成相应事项。</w:t>
            </w:r>
          </w:p>
        </w:tc>
        <w:tc>
          <w:tcPr>
            <w:tcW w:w="284" w:type="pct"/>
            <w:tcBorders>
              <w:top w:val="single" w:color="auto" w:sz="4" w:space="0"/>
              <w:left w:val="nil"/>
              <w:bottom w:val="single" w:color="auto" w:sz="4" w:space="0"/>
              <w:right w:val="single" w:color="auto" w:sz="4" w:space="0"/>
            </w:tcBorders>
            <w:vAlign w:val="center"/>
          </w:tcPr>
          <w:p w14:paraId="758C23A4">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6D640D7F">
            <w:pPr>
              <w:ind w:firstLine="420"/>
              <w:jc w:val="left"/>
              <w:rPr>
                <w:rFonts w:ascii="宋体" w:hAnsi="宋体"/>
                <w:color w:val="000000" w:themeColor="text1"/>
                <w:sz w:val="21"/>
                <w:szCs w:val="21"/>
                <w14:textFill>
                  <w14:solidFill>
                    <w14:schemeClr w14:val="tx1"/>
                  </w14:solidFill>
                </w14:textFill>
              </w:rPr>
            </w:pPr>
          </w:p>
        </w:tc>
      </w:tr>
      <w:tr w14:paraId="237865DA">
        <w:tblPrEx>
          <w:tblCellMar>
            <w:top w:w="15" w:type="dxa"/>
            <w:left w:w="108" w:type="dxa"/>
            <w:bottom w:w="0" w:type="dxa"/>
            <w:right w:w="108" w:type="dxa"/>
          </w:tblCellMar>
        </w:tblPrEx>
        <w:trPr>
          <w:gridAfter w:val="1"/>
          <w:wAfter w:w="144" w:type="dxa"/>
          <w:trHeight w:val="1350" w:hRule="atLeast"/>
        </w:trPr>
        <w:tc>
          <w:tcPr>
            <w:tcW w:w="0" w:type="auto"/>
            <w:vMerge w:val="continue"/>
            <w:tcBorders>
              <w:top w:val="nil"/>
              <w:left w:val="single" w:color="auto" w:sz="4" w:space="0"/>
              <w:bottom w:val="single" w:color="auto" w:sz="4" w:space="0"/>
              <w:right w:val="single" w:color="auto" w:sz="4" w:space="0"/>
            </w:tcBorders>
            <w:vAlign w:val="center"/>
          </w:tcPr>
          <w:p w14:paraId="70C80159">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6093F239">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P1事件</w:t>
            </w:r>
          </w:p>
        </w:tc>
        <w:tc>
          <w:tcPr>
            <w:tcW w:w="1867" w:type="pct"/>
            <w:tcBorders>
              <w:top w:val="single" w:color="auto" w:sz="4" w:space="0"/>
              <w:left w:val="nil"/>
              <w:bottom w:val="single" w:color="auto" w:sz="4" w:space="0"/>
              <w:right w:val="single" w:color="auto" w:sz="4" w:space="0"/>
            </w:tcBorders>
            <w:vAlign w:val="center"/>
          </w:tcPr>
          <w:p w14:paraId="7EADECEC">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1.投标人驻场人员处理问题态度恶劣，与采购人工作人员发生争吵，或者故意推诿、拖延的，经采购人确认属实的。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2.针对政策性要求的接口对接、上级部门要求的开发需求、对采购人经济、生产、安全产生重大影响的BUG处理超出双方约定时间段10天仍无法完成或未按约定时间进行需求评估及方案确认的，对采购人产生影响的。</w:t>
            </w:r>
          </w:p>
        </w:tc>
        <w:tc>
          <w:tcPr>
            <w:tcW w:w="169" w:type="pct"/>
            <w:tcBorders>
              <w:top w:val="single" w:color="auto" w:sz="4" w:space="0"/>
              <w:left w:val="nil"/>
              <w:bottom w:val="single" w:color="auto" w:sz="4" w:space="0"/>
              <w:right w:val="single" w:color="auto" w:sz="4" w:space="0"/>
            </w:tcBorders>
            <w:vAlign w:val="center"/>
          </w:tcPr>
          <w:p w14:paraId="52BD0FBE">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8</w:t>
            </w:r>
          </w:p>
        </w:tc>
        <w:tc>
          <w:tcPr>
            <w:tcW w:w="1074" w:type="pct"/>
            <w:tcBorders>
              <w:top w:val="single" w:color="auto" w:sz="4" w:space="0"/>
              <w:left w:val="nil"/>
              <w:bottom w:val="single" w:color="auto" w:sz="4" w:space="0"/>
              <w:right w:val="single" w:color="auto" w:sz="4" w:space="0"/>
            </w:tcBorders>
            <w:vAlign w:val="center"/>
          </w:tcPr>
          <w:p w14:paraId="34A9ABB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每出现一次，扣2分，扣完为止，但仍要完成相应事项。</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如果P1事件升级为P0事件，按P0事件扣分，不按P1事件扣分。</w:t>
            </w:r>
          </w:p>
        </w:tc>
        <w:tc>
          <w:tcPr>
            <w:tcW w:w="284" w:type="pct"/>
            <w:tcBorders>
              <w:top w:val="single" w:color="auto" w:sz="4" w:space="0"/>
              <w:left w:val="nil"/>
              <w:bottom w:val="single" w:color="auto" w:sz="4" w:space="0"/>
              <w:right w:val="single" w:color="auto" w:sz="4" w:space="0"/>
            </w:tcBorders>
            <w:vAlign w:val="center"/>
          </w:tcPr>
          <w:p w14:paraId="761B82A9">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54866BB9">
            <w:pPr>
              <w:ind w:firstLine="420"/>
              <w:jc w:val="left"/>
              <w:rPr>
                <w:rFonts w:ascii="宋体" w:hAnsi="宋体"/>
                <w:color w:val="000000" w:themeColor="text1"/>
                <w:sz w:val="21"/>
                <w:szCs w:val="21"/>
                <w14:textFill>
                  <w14:solidFill>
                    <w14:schemeClr w14:val="tx1"/>
                  </w14:solidFill>
                </w14:textFill>
              </w:rPr>
            </w:pPr>
          </w:p>
        </w:tc>
      </w:tr>
      <w:tr w14:paraId="243F81C9">
        <w:tblPrEx>
          <w:tblCellMar>
            <w:top w:w="15" w:type="dxa"/>
            <w:left w:w="108" w:type="dxa"/>
            <w:bottom w:w="0" w:type="dxa"/>
            <w:right w:w="108" w:type="dxa"/>
          </w:tblCellMar>
        </w:tblPrEx>
        <w:trPr>
          <w:gridAfter w:val="1"/>
          <w:wAfter w:w="144" w:type="dxa"/>
          <w:trHeight w:val="1080" w:hRule="atLeast"/>
        </w:trPr>
        <w:tc>
          <w:tcPr>
            <w:tcW w:w="0" w:type="auto"/>
            <w:vMerge w:val="continue"/>
            <w:tcBorders>
              <w:top w:val="nil"/>
              <w:left w:val="single" w:color="auto" w:sz="4" w:space="0"/>
              <w:bottom w:val="single" w:color="auto" w:sz="4" w:space="0"/>
              <w:right w:val="single" w:color="auto" w:sz="4" w:space="0"/>
            </w:tcBorders>
            <w:vAlign w:val="center"/>
          </w:tcPr>
          <w:p w14:paraId="435A7E7C">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11D86C86">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P2事件</w:t>
            </w:r>
          </w:p>
        </w:tc>
        <w:tc>
          <w:tcPr>
            <w:tcW w:w="1867" w:type="pct"/>
            <w:tcBorders>
              <w:top w:val="single" w:color="auto" w:sz="4" w:space="0"/>
              <w:left w:val="nil"/>
              <w:bottom w:val="single" w:color="auto" w:sz="4" w:space="0"/>
              <w:right w:val="single" w:color="auto" w:sz="4" w:space="0"/>
            </w:tcBorders>
            <w:vAlign w:val="center"/>
          </w:tcPr>
          <w:p w14:paraId="6EACB082">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针对除政策性要求的接口对接以外的其余接口对接、除上级部门要求的开发需求以外的其余开发需求、除对采购人经济、生产、安全产生重大影响的BUG以外的其余BUG处理超出双方约定时间段10天仍无法完成的，对采购人产生影响的。</w:t>
            </w:r>
          </w:p>
        </w:tc>
        <w:tc>
          <w:tcPr>
            <w:tcW w:w="169" w:type="pct"/>
            <w:tcBorders>
              <w:top w:val="single" w:color="auto" w:sz="4" w:space="0"/>
              <w:left w:val="nil"/>
              <w:bottom w:val="single" w:color="auto" w:sz="4" w:space="0"/>
              <w:right w:val="single" w:color="auto" w:sz="4" w:space="0"/>
            </w:tcBorders>
            <w:vAlign w:val="center"/>
          </w:tcPr>
          <w:p w14:paraId="6E6ABC9A">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w:t>
            </w:r>
          </w:p>
        </w:tc>
        <w:tc>
          <w:tcPr>
            <w:tcW w:w="1074" w:type="pct"/>
            <w:tcBorders>
              <w:top w:val="single" w:color="auto" w:sz="4" w:space="0"/>
              <w:left w:val="nil"/>
              <w:bottom w:val="single" w:color="auto" w:sz="4" w:space="0"/>
              <w:right w:val="single" w:color="auto" w:sz="4" w:space="0"/>
            </w:tcBorders>
            <w:vAlign w:val="center"/>
          </w:tcPr>
          <w:p w14:paraId="518E28E0">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每出现一次，扣1分，扣完为止，但仍要完成相应事项。</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如果P2事件升级为P0事件，按P0事件扣分，不按P2事件扣分。</w:t>
            </w:r>
          </w:p>
        </w:tc>
        <w:tc>
          <w:tcPr>
            <w:tcW w:w="284" w:type="pct"/>
            <w:tcBorders>
              <w:top w:val="single" w:color="auto" w:sz="4" w:space="0"/>
              <w:left w:val="nil"/>
              <w:bottom w:val="single" w:color="auto" w:sz="4" w:space="0"/>
              <w:right w:val="single" w:color="auto" w:sz="4" w:space="0"/>
            </w:tcBorders>
            <w:vAlign w:val="center"/>
          </w:tcPr>
          <w:p w14:paraId="629AEC77">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1631D478">
            <w:pPr>
              <w:ind w:firstLine="420"/>
              <w:jc w:val="left"/>
              <w:rPr>
                <w:rFonts w:ascii="宋体" w:hAnsi="宋体"/>
                <w:color w:val="000000" w:themeColor="text1"/>
                <w:sz w:val="21"/>
                <w:szCs w:val="21"/>
                <w14:textFill>
                  <w14:solidFill>
                    <w14:schemeClr w14:val="tx1"/>
                  </w14:solidFill>
                </w14:textFill>
              </w:rPr>
            </w:pPr>
          </w:p>
        </w:tc>
      </w:tr>
      <w:tr w14:paraId="37C63CFB">
        <w:tblPrEx>
          <w:tblCellMar>
            <w:top w:w="15" w:type="dxa"/>
            <w:left w:w="108" w:type="dxa"/>
            <w:bottom w:w="0" w:type="dxa"/>
            <w:right w:w="108" w:type="dxa"/>
          </w:tblCellMar>
        </w:tblPrEx>
        <w:trPr>
          <w:gridAfter w:val="1"/>
          <w:wAfter w:w="144" w:type="dxa"/>
          <w:trHeight w:val="1080" w:hRule="atLeast"/>
        </w:trPr>
        <w:tc>
          <w:tcPr>
            <w:tcW w:w="0" w:type="auto"/>
            <w:vMerge w:val="continue"/>
            <w:tcBorders>
              <w:top w:val="nil"/>
              <w:left w:val="single" w:color="auto" w:sz="4" w:space="0"/>
              <w:bottom w:val="single" w:color="auto" w:sz="4" w:space="0"/>
              <w:right w:val="single" w:color="auto" w:sz="4" w:space="0"/>
            </w:tcBorders>
            <w:vAlign w:val="center"/>
          </w:tcPr>
          <w:p w14:paraId="6334BF15">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107ACC9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P3事件</w:t>
            </w:r>
          </w:p>
        </w:tc>
        <w:tc>
          <w:tcPr>
            <w:tcW w:w="1867" w:type="pct"/>
            <w:tcBorders>
              <w:top w:val="single" w:color="auto" w:sz="4" w:space="0"/>
              <w:left w:val="nil"/>
              <w:bottom w:val="single" w:color="auto" w:sz="4" w:space="0"/>
              <w:right w:val="single" w:color="auto" w:sz="4" w:space="0"/>
            </w:tcBorders>
            <w:vAlign w:val="center"/>
          </w:tcPr>
          <w:p w14:paraId="3689AFE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1.在接口对接、开发需求、程序BUG处理时，引入BUG或者造成版本混乱，对采购人产生影响的。</w:t>
            </w:r>
          </w:p>
        </w:tc>
        <w:tc>
          <w:tcPr>
            <w:tcW w:w="169" w:type="pct"/>
            <w:tcBorders>
              <w:top w:val="single" w:color="auto" w:sz="4" w:space="0"/>
              <w:left w:val="nil"/>
              <w:bottom w:val="single" w:color="auto" w:sz="4" w:space="0"/>
              <w:right w:val="single" w:color="auto" w:sz="4" w:space="0"/>
            </w:tcBorders>
            <w:vAlign w:val="center"/>
          </w:tcPr>
          <w:p w14:paraId="10A177A7">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7E32BAB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每出现一次，扣1分，扣完为止。</w:t>
            </w:r>
          </w:p>
        </w:tc>
        <w:tc>
          <w:tcPr>
            <w:tcW w:w="284" w:type="pct"/>
            <w:tcBorders>
              <w:top w:val="single" w:color="auto" w:sz="4" w:space="0"/>
              <w:left w:val="nil"/>
              <w:bottom w:val="single" w:color="auto" w:sz="4" w:space="0"/>
              <w:right w:val="single" w:color="auto" w:sz="4" w:space="0"/>
            </w:tcBorders>
            <w:vAlign w:val="center"/>
          </w:tcPr>
          <w:p w14:paraId="76463CA9">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6B543E27">
            <w:pPr>
              <w:ind w:firstLine="420"/>
              <w:jc w:val="left"/>
              <w:rPr>
                <w:rFonts w:ascii="宋体" w:hAnsi="宋体"/>
                <w:color w:val="000000" w:themeColor="text1"/>
                <w:sz w:val="21"/>
                <w:szCs w:val="21"/>
                <w14:textFill>
                  <w14:solidFill>
                    <w14:schemeClr w14:val="tx1"/>
                  </w14:solidFill>
                </w14:textFill>
              </w:rPr>
            </w:pPr>
          </w:p>
        </w:tc>
      </w:tr>
      <w:tr w14:paraId="2C52F9BD">
        <w:tblPrEx>
          <w:tblCellMar>
            <w:top w:w="15" w:type="dxa"/>
            <w:left w:w="108" w:type="dxa"/>
            <w:bottom w:w="0" w:type="dxa"/>
            <w:right w:w="108" w:type="dxa"/>
          </w:tblCellMar>
        </w:tblPrEx>
        <w:trPr>
          <w:gridAfter w:val="1"/>
          <w:wAfter w:w="144" w:type="dxa"/>
          <w:trHeight w:val="1350" w:hRule="atLeast"/>
        </w:trPr>
        <w:tc>
          <w:tcPr>
            <w:tcW w:w="0" w:type="auto"/>
            <w:vMerge w:val="continue"/>
            <w:tcBorders>
              <w:top w:val="nil"/>
              <w:left w:val="single" w:color="auto" w:sz="4" w:space="0"/>
              <w:bottom w:val="single" w:color="auto" w:sz="4" w:space="0"/>
              <w:right w:val="single" w:color="auto" w:sz="4" w:space="0"/>
            </w:tcBorders>
            <w:vAlign w:val="center"/>
          </w:tcPr>
          <w:p w14:paraId="4143E1A8">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2F3CF1D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P4事件</w:t>
            </w:r>
          </w:p>
        </w:tc>
        <w:tc>
          <w:tcPr>
            <w:tcW w:w="1867" w:type="pct"/>
            <w:tcBorders>
              <w:top w:val="single" w:color="auto" w:sz="4" w:space="0"/>
              <w:left w:val="nil"/>
              <w:bottom w:val="single" w:color="auto" w:sz="4" w:space="0"/>
              <w:right w:val="single" w:color="auto" w:sz="4" w:space="0"/>
            </w:tcBorders>
            <w:vAlign w:val="center"/>
          </w:tcPr>
          <w:p w14:paraId="0467A0D4">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日常运维不符合以下响应要求的。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接到系统使用过程中的问题，现场服务或电话受理响应要求：</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1.周一~周五：07:30~17:</w:t>
            </w:r>
            <w:r>
              <w:rPr>
                <w:rFonts w:ascii="宋体" w:hAnsi="宋体"/>
                <w:color w:val="000000" w:themeColor="text1"/>
                <w:sz w:val="21"/>
                <w:szCs w:val="21"/>
                <w14:textFill>
                  <w14:solidFill>
                    <w14:schemeClr w14:val="tx1"/>
                  </w14:solidFill>
                </w14:textFill>
              </w:rPr>
              <w:t>30</w:t>
            </w:r>
            <w:r>
              <w:rPr>
                <w:rFonts w:hint="eastAsia" w:ascii="宋体" w:hAnsi="宋体"/>
                <w:color w:val="000000" w:themeColor="text1"/>
                <w:sz w:val="21"/>
                <w:szCs w:val="21"/>
                <w14:textFill>
                  <w14:solidFill>
                    <w14:schemeClr w14:val="tx1"/>
                  </w14:solidFill>
                </w14:textFill>
              </w:rPr>
              <w:t>，时间：10分钟以内；</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2.周一~周五：00:00~07:29或17:30~23:59，时间：20分钟以内；</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3.周六~周日：00:00~23:59，时间：30分钟以内。</w:t>
            </w:r>
            <w:r>
              <w:rPr>
                <w:sz w:val="24"/>
                <w:szCs w:val="21"/>
              </w:rPr>
              <w:br w:type="textWrapping"/>
            </w:r>
          </w:p>
        </w:tc>
        <w:tc>
          <w:tcPr>
            <w:tcW w:w="169" w:type="pct"/>
            <w:tcBorders>
              <w:top w:val="single" w:color="auto" w:sz="4" w:space="0"/>
              <w:left w:val="nil"/>
              <w:bottom w:val="single" w:color="auto" w:sz="4" w:space="0"/>
              <w:right w:val="single" w:color="auto" w:sz="4" w:space="0"/>
            </w:tcBorders>
            <w:vAlign w:val="center"/>
          </w:tcPr>
          <w:p w14:paraId="47B09E9C">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7B2AF78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每出现一次，扣0.5分，扣完为止。</w:t>
            </w:r>
          </w:p>
        </w:tc>
        <w:tc>
          <w:tcPr>
            <w:tcW w:w="284" w:type="pct"/>
            <w:tcBorders>
              <w:top w:val="single" w:color="auto" w:sz="4" w:space="0"/>
              <w:left w:val="nil"/>
              <w:bottom w:val="single" w:color="auto" w:sz="4" w:space="0"/>
              <w:right w:val="single" w:color="auto" w:sz="4" w:space="0"/>
            </w:tcBorders>
            <w:vAlign w:val="center"/>
          </w:tcPr>
          <w:p w14:paraId="4E94C1A1">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5C5DDA3B">
            <w:pPr>
              <w:ind w:firstLine="420"/>
              <w:jc w:val="left"/>
              <w:rPr>
                <w:rFonts w:ascii="宋体" w:hAnsi="宋体"/>
                <w:color w:val="000000" w:themeColor="text1"/>
                <w:sz w:val="21"/>
                <w:szCs w:val="21"/>
                <w14:textFill>
                  <w14:solidFill>
                    <w14:schemeClr w14:val="tx1"/>
                  </w14:solidFill>
                </w14:textFill>
              </w:rPr>
            </w:pPr>
          </w:p>
        </w:tc>
      </w:tr>
      <w:tr w14:paraId="0CC5B154">
        <w:tblPrEx>
          <w:tblCellMar>
            <w:top w:w="15" w:type="dxa"/>
            <w:left w:w="108" w:type="dxa"/>
            <w:bottom w:w="0" w:type="dxa"/>
            <w:right w:w="108" w:type="dxa"/>
          </w:tblCellMar>
        </w:tblPrEx>
        <w:trPr>
          <w:gridAfter w:val="1"/>
          <w:wAfter w:w="144" w:type="dxa"/>
          <w:trHeight w:val="540" w:hRule="atLeast"/>
        </w:trPr>
        <w:tc>
          <w:tcPr>
            <w:tcW w:w="284" w:type="pct"/>
            <w:vMerge w:val="restart"/>
            <w:tcBorders>
              <w:top w:val="nil"/>
              <w:left w:val="single" w:color="auto" w:sz="4" w:space="0"/>
              <w:bottom w:val="single" w:color="auto" w:sz="4" w:space="0"/>
              <w:right w:val="single" w:color="auto" w:sz="4" w:space="0"/>
            </w:tcBorders>
            <w:vAlign w:val="center"/>
          </w:tcPr>
          <w:p w14:paraId="6A49C1D4">
            <w:pPr>
              <w:ind w:firstLine="42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服务和行为规范</w:t>
            </w:r>
          </w:p>
        </w:tc>
        <w:tc>
          <w:tcPr>
            <w:tcW w:w="545" w:type="pct"/>
            <w:tcBorders>
              <w:top w:val="single" w:color="auto" w:sz="4" w:space="0"/>
              <w:left w:val="nil"/>
              <w:bottom w:val="single" w:color="auto" w:sz="4" w:space="0"/>
              <w:right w:val="single" w:color="auto" w:sz="4" w:space="0"/>
            </w:tcBorders>
            <w:vAlign w:val="center"/>
          </w:tcPr>
          <w:p w14:paraId="4DB95CE7">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数据变更管控</w:t>
            </w:r>
          </w:p>
        </w:tc>
        <w:tc>
          <w:tcPr>
            <w:tcW w:w="1867" w:type="pct"/>
            <w:tcBorders>
              <w:top w:val="single" w:color="auto" w:sz="4" w:space="0"/>
              <w:left w:val="nil"/>
              <w:bottom w:val="single" w:color="auto" w:sz="4" w:space="0"/>
              <w:right w:val="single" w:color="auto" w:sz="4" w:space="0"/>
            </w:tcBorders>
            <w:vAlign w:val="center"/>
          </w:tcPr>
          <w:p w14:paraId="26DC27F6">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遵守采购人信息数据修改的审批流程进行数据修改，审批记录必须留存。</w:t>
            </w:r>
          </w:p>
        </w:tc>
        <w:tc>
          <w:tcPr>
            <w:tcW w:w="169" w:type="pct"/>
            <w:tcBorders>
              <w:top w:val="single" w:color="auto" w:sz="4" w:space="0"/>
              <w:left w:val="nil"/>
              <w:bottom w:val="single" w:color="auto" w:sz="4" w:space="0"/>
              <w:right w:val="single" w:color="auto" w:sz="4" w:space="0"/>
            </w:tcBorders>
            <w:vAlign w:val="center"/>
          </w:tcPr>
          <w:p w14:paraId="08FD4A71">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705EF585">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未遵守流程修改或未留存记录，每出现一次，扣2.5分，扣完为止。</w:t>
            </w:r>
          </w:p>
        </w:tc>
        <w:tc>
          <w:tcPr>
            <w:tcW w:w="284" w:type="pct"/>
            <w:tcBorders>
              <w:top w:val="single" w:color="auto" w:sz="4" w:space="0"/>
              <w:left w:val="nil"/>
              <w:bottom w:val="single" w:color="auto" w:sz="4" w:space="0"/>
              <w:right w:val="single" w:color="auto" w:sz="4" w:space="0"/>
            </w:tcBorders>
            <w:vAlign w:val="center"/>
          </w:tcPr>
          <w:p w14:paraId="15E93DC4">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15F284C4">
            <w:pPr>
              <w:ind w:firstLine="420"/>
              <w:jc w:val="left"/>
              <w:rPr>
                <w:rFonts w:ascii="宋体" w:hAnsi="宋体"/>
                <w:color w:val="000000" w:themeColor="text1"/>
                <w:sz w:val="21"/>
                <w:szCs w:val="21"/>
                <w14:textFill>
                  <w14:solidFill>
                    <w14:schemeClr w14:val="tx1"/>
                  </w14:solidFill>
                </w14:textFill>
              </w:rPr>
            </w:pPr>
          </w:p>
        </w:tc>
      </w:tr>
      <w:tr w14:paraId="074687FC">
        <w:tblPrEx>
          <w:tblCellMar>
            <w:top w:w="15" w:type="dxa"/>
            <w:left w:w="108" w:type="dxa"/>
            <w:bottom w:w="0" w:type="dxa"/>
            <w:right w:w="108" w:type="dxa"/>
          </w:tblCellMar>
        </w:tblPrEx>
        <w:trPr>
          <w:gridAfter w:val="1"/>
          <w:wAfter w:w="144" w:type="dxa"/>
          <w:trHeight w:val="1080" w:hRule="atLeast"/>
        </w:trPr>
        <w:tc>
          <w:tcPr>
            <w:tcW w:w="0" w:type="auto"/>
            <w:vMerge w:val="continue"/>
            <w:tcBorders>
              <w:top w:val="nil"/>
              <w:left w:val="single" w:color="auto" w:sz="4" w:space="0"/>
              <w:bottom w:val="single" w:color="auto" w:sz="4" w:space="0"/>
              <w:right w:val="single" w:color="auto" w:sz="4" w:space="0"/>
            </w:tcBorders>
            <w:vAlign w:val="center"/>
          </w:tcPr>
          <w:p w14:paraId="771DD250">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11D4330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投诉</w:t>
            </w:r>
          </w:p>
        </w:tc>
        <w:tc>
          <w:tcPr>
            <w:tcW w:w="1867" w:type="pct"/>
            <w:tcBorders>
              <w:top w:val="single" w:color="auto" w:sz="4" w:space="0"/>
              <w:left w:val="nil"/>
              <w:bottom w:val="single" w:color="auto" w:sz="4" w:space="0"/>
              <w:right w:val="single" w:color="auto" w:sz="4" w:space="0"/>
            </w:tcBorders>
            <w:vAlign w:val="center"/>
          </w:tcPr>
          <w:p w14:paraId="7E20C5BC">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因信息系统故障或BUG导致的投诉，经确认为有效投诉的。</w:t>
            </w:r>
          </w:p>
        </w:tc>
        <w:tc>
          <w:tcPr>
            <w:tcW w:w="169" w:type="pct"/>
            <w:tcBorders>
              <w:top w:val="single" w:color="auto" w:sz="4" w:space="0"/>
              <w:left w:val="nil"/>
              <w:bottom w:val="single" w:color="auto" w:sz="4" w:space="0"/>
              <w:right w:val="single" w:color="auto" w:sz="4" w:space="0"/>
            </w:tcBorders>
            <w:vAlign w:val="center"/>
          </w:tcPr>
          <w:p w14:paraId="2DBBEB39">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7C15CD6D">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被有效投诉，每出现一次，扣1分，扣完为止。</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如果引起投诉的故障或BUG为关键事件，投诉和关键事件都扣分。</w:t>
            </w:r>
          </w:p>
        </w:tc>
        <w:tc>
          <w:tcPr>
            <w:tcW w:w="284" w:type="pct"/>
            <w:tcBorders>
              <w:top w:val="single" w:color="auto" w:sz="4" w:space="0"/>
              <w:left w:val="nil"/>
              <w:bottom w:val="single" w:color="auto" w:sz="4" w:space="0"/>
              <w:right w:val="single" w:color="auto" w:sz="4" w:space="0"/>
            </w:tcBorders>
            <w:vAlign w:val="center"/>
          </w:tcPr>
          <w:p w14:paraId="77B71065">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17B0305C">
            <w:pPr>
              <w:ind w:firstLine="420"/>
              <w:jc w:val="left"/>
              <w:rPr>
                <w:rFonts w:ascii="宋体" w:hAnsi="宋体"/>
                <w:color w:val="000000" w:themeColor="text1"/>
                <w:sz w:val="21"/>
                <w:szCs w:val="21"/>
                <w14:textFill>
                  <w14:solidFill>
                    <w14:schemeClr w14:val="tx1"/>
                  </w14:solidFill>
                </w14:textFill>
              </w:rPr>
            </w:pPr>
          </w:p>
        </w:tc>
      </w:tr>
      <w:tr w14:paraId="1FC58696">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7330E3D7">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0546B4F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安全检查</w:t>
            </w:r>
          </w:p>
        </w:tc>
        <w:tc>
          <w:tcPr>
            <w:tcW w:w="1867" w:type="pct"/>
            <w:tcBorders>
              <w:top w:val="single" w:color="auto" w:sz="4" w:space="0"/>
              <w:left w:val="nil"/>
              <w:bottom w:val="single" w:color="auto" w:sz="4" w:space="0"/>
              <w:right w:val="single" w:color="auto" w:sz="4" w:space="0"/>
            </w:tcBorders>
            <w:vAlign w:val="center"/>
          </w:tcPr>
          <w:p w14:paraId="45D40A2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每月做数据库安全检查，生成安全检查报告：如有异常情况，及时告知用户，提出解决方法。</w:t>
            </w:r>
          </w:p>
        </w:tc>
        <w:tc>
          <w:tcPr>
            <w:tcW w:w="169" w:type="pct"/>
            <w:tcBorders>
              <w:top w:val="single" w:color="auto" w:sz="4" w:space="0"/>
              <w:left w:val="nil"/>
              <w:bottom w:val="single" w:color="auto" w:sz="4" w:space="0"/>
              <w:right w:val="single" w:color="auto" w:sz="4" w:space="0"/>
            </w:tcBorders>
            <w:vAlign w:val="center"/>
          </w:tcPr>
          <w:p w14:paraId="69C4EB5F">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4E3BB49F">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未及时检查或未及时提供报告，每出现一次，扣1分，扣完为止。</w:t>
            </w:r>
          </w:p>
        </w:tc>
        <w:tc>
          <w:tcPr>
            <w:tcW w:w="284" w:type="pct"/>
            <w:tcBorders>
              <w:top w:val="single" w:color="auto" w:sz="4" w:space="0"/>
              <w:left w:val="nil"/>
              <w:bottom w:val="single" w:color="auto" w:sz="4" w:space="0"/>
              <w:right w:val="single" w:color="auto" w:sz="4" w:space="0"/>
            </w:tcBorders>
            <w:vAlign w:val="center"/>
          </w:tcPr>
          <w:p w14:paraId="0D5C0415">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424B9C4C">
            <w:pPr>
              <w:ind w:firstLine="420"/>
              <w:jc w:val="left"/>
              <w:rPr>
                <w:rFonts w:ascii="宋体" w:hAnsi="宋体"/>
                <w:color w:val="000000" w:themeColor="text1"/>
                <w:sz w:val="21"/>
                <w:szCs w:val="21"/>
                <w14:textFill>
                  <w14:solidFill>
                    <w14:schemeClr w14:val="tx1"/>
                  </w14:solidFill>
                </w14:textFill>
              </w:rPr>
            </w:pPr>
          </w:p>
        </w:tc>
      </w:tr>
      <w:tr w14:paraId="150ACE34">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3CC12328">
            <w:pPr>
              <w:ind w:firstLine="420"/>
              <w:jc w:val="left"/>
              <w:rPr>
                <w:rFonts w:ascii="宋体" w:hAnsi="宋体"/>
                <w:color w:val="000000" w:themeColor="text1"/>
                <w:sz w:val="21"/>
                <w:szCs w:val="21"/>
                <w14:textFill>
                  <w14:solidFill>
                    <w14:schemeClr w14:val="tx1"/>
                  </w14:solidFill>
                </w14:textFill>
              </w:rPr>
            </w:pPr>
          </w:p>
        </w:tc>
        <w:tc>
          <w:tcPr>
            <w:tcW w:w="545" w:type="pct"/>
            <w:tcBorders>
              <w:top w:val="nil"/>
              <w:left w:val="nil"/>
              <w:bottom w:val="single" w:color="auto" w:sz="4" w:space="0"/>
              <w:right w:val="single" w:color="auto" w:sz="4" w:space="0"/>
            </w:tcBorders>
            <w:vAlign w:val="center"/>
          </w:tcPr>
          <w:p w14:paraId="713C22BA">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安全整改</w:t>
            </w:r>
          </w:p>
        </w:tc>
        <w:tc>
          <w:tcPr>
            <w:tcW w:w="1867" w:type="pct"/>
            <w:tcBorders>
              <w:top w:val="nil"/>
              <w:left w:val="nil"/>
              <w:bottom w:val="single" w:color="auto" w:sz="4" w:space="0"/>
              <w:right w:val="single" w:color="auto" w:sz="4" w:space="0"/>
            </w:tcBorders>
            <w:vAlign w:val="center"/>
          </w:tcPr>
          <w:p w14:paraId="540C187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收到安全隐患通知后，24小时内处置安全隐患。</w:t>
            </w:r>
          </w:p>
        </w:tc>
        <w:tc>
          <w:tcPr>
            <w:tcW w:w="169" w:type="pct"/>
            <w:tcBorders>
              <w:top w:val="nil"/>
              <w:left w:val="nil"/>
              <w:bottom w:val="single" w:color="auto" w:sz="4" w:space="0"/>
              <w:right w:val="single" w:color="auto" w:sz="4" w:space="0"/>
            </w:tcBorders>
            <w:vAlign w:val="center"/>
          </w:tcPr>
          <w:p w14:paraId="7DF2F45E">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nil"/>
              <w:left w:val="nil"/>
              <w:bottom w:val="single" w:color="auto" w:sz="4" w:space="0"/>
              <w:right w:val="single" w:color="auto" w:sz="4" w:space="0"/>
            </w:tcBorders>
            <w:vAlign w:val="center"/>
          </w:tcPr>
          <w:p w14:paraId="7DEF15B7">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超过24小时处置安全隐患的，每出现一次，扣1分，扣完为止。</w:t>
            </w:r>
          </w:p>
        </w:tc>
        <w:tc>
          <w:tcPr>
            <w:tcW w:w="284" w:type="pct"/>
            <w:tcBorders>
              <w:top w:val="nil"/>
              <w:left w:val="nil"/>
              <w:bottom w:val="single" w:color="auto" w:sz="4" w:space="0"/>
              <w:right w:val="single" w:color="auto" w:sz="4" w:space="0"/>
            </w:tcBorders>
            <w:vAlign w:val="center"/>
          </w:tcPr>
          <w:p w14:paraId="54BDC8AF">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522D3B28">
            <w:pPr>
              <w:ind w:firstLine="420"/>
              <w:jc w:val="left"/>
              <w:rPr>
                <w:rFonts w:ascii="宋体" w:hAnsi="宋体"/>
                <w:color w:val="000000" w:themeColor="text1"/>
                <w:sz w:val="21"/>
                <w:szCs w:val="21"/>
                <w14:textFill>
                  <w14:solidFill>
                    <w14:schemeClr w14:val="tx1"/>
                  </w14:solidFill>
                </w14:textFill>
              </w:rPr>
            </w:pPr>
          </w:p>
        </w:tc>
      </w:tr>
      <w:tr w14:paraId="4421A3F7">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1A593785">
            <w:pPr>
              <w:ind w:firstLine="420"/>
              <w:jc w:val="left"/>
              <w:rPr>
                <w:rFonts w:ascii="宋体" w:hAnsi="宋体"/>
                <w:color w:val="000000" w:themeColor="text1"/>
                <w:sz w:val="21"/>
                <w:szCs w:val="21"/>
                <w14:textFill>
                  <w14:solidFill>
                    <w14:schemeClr w14:val="tx1"/>
                  </w14:solidFill>
                </w14:textFill>
              </w:rPr>
            </w:pPr>
          </w:p>
        </w:tc>
        <w:tc>
          <w:tcPr>
            <w:tcW w:w="545" w:type="pct"/>
            <w:tcBorders>
              <w:top w:val="nil"/>
              <w:left w:val="nil"/>
              <w:bottom w:val="single" w:color="auto" w:sz="4" w:space="0"/>
              <w:right w:val="single" w:color="auto" w:sz="4" w:space="0"/>
            </w:tcBorders>
            <w:vAlign w:val="center"/>
          </w:tcPr>
          <w:p w14:paraId="3FD8F1D7">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作息时间</w:t>
            </w:r>
          </w:p>
        </w:tc>
        <w:tc>
          <w:tcPr>
            <w:tcW w:w="1867" w:type="pct"/>
            <w:tcBorders>
              <w:top w:val="nil"/>
              <w:left w:val="nil"/>
              <w:bottom w:val="single" w:color="auto" w:sz="4" w:space="0"/>
              <w:right w:val="single" w:color="auto" w:sz="4" w:space="0"/>
            </w:tcBorders>
            <w:vAlign w:val="center"/>
          </w:tcPr>
          <w:p w14:paraId="0FB99F6A">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上、下班按照与采购人约定的时间作息。</w:t>
            </w:r>
          </w:p>
        </w:tc>
        <w:tc>
          <w:tcPr>
            <w:tcW w:w="169" w:type="pct"/>
            <w:tcBorders>
              <w:top w:val="nil"/>
              <w:left w:val="nil"/>
              <w:bottom w:val="single" w:color="auto" w:sz="4" w:space="0"/>
              <w:right w:val="single" w:color="auto" w:sz="4" w:space="0"/>
            </w:tcBorders>
            <w:vAlign w:val="center"/>
          </w:tcPr>
          <w:p w14:paraId="408B8DB9">
            <w:pPr>
              <w:ind w:firstLine="420"/>
              <w:jc w:val="right"/>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10</w:t>
            </w:r>
          </w:p>
        </w:tc>
        <w:tc>
          <w:tcPr>
            <w:tcW w:w="1074" w:type="pct"/>
            <w:tcBorders>
              <w:top w:val="nil"/>
              <w:left w:val="nil"/>
              <w:bottom w:val="single" w:color="auto" w:sz="4" w:space="0"/>
              <w:right w:val="single" w:color="auto" w:sz="4" w:space="0"/>
            </w:tcBorders>
            <w:vAlign w:val="center"/>
          </w:tcPr>
          <w:p w14:paraId="12C24075">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未按约定时间作息，每出现一次，扣1分，扣完为止。</w:t>
            </w:r>
          </w:p>
        </w:tc>
        <w:tc>
          <w:tcPr>
            <w:tcW w:w="284" w:type="pct"/>
            <w:tcBorders>
              <w:top w:val="nil"/>
              <w:left w:val="nil"/>
              <w:bottom w:val="single" w:color="auto" w:sz="4" w:space="0"/>
              <w:right w:val="single" w:color="auto" w:sz="4" w:space="0"/>
            </w:tcBorders>
            <w:vAlign w:val="center"/>
          </w:tcPr>
          <w:p w14:paraId="6A7C8A3F">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4B1F142C">
            <w:pPr>
              <w:ind w:firstLine="420"/>
              <w:jc w:val="left"/>
              <w:rPr>
                <w:rFonts w:ascii="宋体" w:hAnsi="宋体"/>
                <w:color w:val="000000" w:themeColor="text1"/>
                <w:sz w:val="21"/>
                <w:szCs w:val="21"/>
                <w14:textFill>
                  <w14:solidFill>
                    <w14:schemeClr w14:val="tx1"/>
                  </w14:solidFill>
                </w14:textFill>
              </w:rPr>
            </w:pPr>
          </w:p>
        </w:tc>
      </w:tr>
      <w:tr w14:paraId="751524A0">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0F804168">
            <w:pPr>
              <w:ind w:firstLine="420"/>
              <w:jc w:val="left"/>
              <w:rPr>
                <w:rFonts w:ascii="宋体" w:hAnsi="宋体"/>
                <w:color w:val="000000" w:themeColor="text1"/>
                <w:sz w:val="21"/>
                <w:szCs w:val="21"/>
                <w14:textFill>
                  <w14:solidFill>
                    <w14:schemeClr w14:val="tx1"/>
                  </w14:solidFill>
                </w14:textFill>
              </w:rPr>
            </w:pPr>
          </w:p>
        </w:tc>
        <w:tc>
          <w:tcPr>
            <w:tcW w:w="545" w:type="pct"/>
            <w:tcBorders>
              <w:top w:val="nil"/>
              <w:left w:val="nil"/>
              <w:bottom w:val="single" w:color="auto" w:sz="4" w:space="0"/>
              <w:right w:val="single" w:color="auto" w:sz="4" w:space="0"/>
            </w:tcBorders>
            <w:vAlign w:val="center"/>
          </w:tcPr>
          <w:p w14:paraId="09FBA34C">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工号牌</w:t>
            </w:r>
          </w:p>
        </w:tc>
        <w:tc>
          <w:tcPr>
            <w:tcW w:w="1867" w:type="pct"/>
            <w:tcBorders>
              <w:top w:val="nil"/>
              <w:left w:val="nil"/>
              <w:bottom w:val="single" w:color="auto" w:sz="4" w:space="0"/>
              <w:right w:val="single" w:color="auto" w:sz="4" w:space="0"/>
            </w:tcBorders>
            <w:vAlign w:val="center"/>
          </w:tcPr>
          <w:p w14:paraId="29CD8AF9">
            <w:pPr>
              <w:ind w:firstLine="420"/>
              <w:jc w:val="left"/>
              <w:rPr>
                <w:rFonts w:ascii="宋体" w:hAnsi="宋体"/>
                <w:color w:val="000000" w:themeColor="text1"/>
                <w:sz w:val="21"/>
                <w:szCs w:val="21"/>
                <w14:textFill>
                  <w14:solidFill>
                    <w14:schemeClr w14:val="tx1"/>
                  </w14:solidFill>
                </w14:textFill>
              </w:rPr>
            </w:pPr>
          </w:p>
        </w:tc>
        <w:tc>
          <w:tcPr>
            <w:tcW w:w="169" w:type="pct"/>
            <w:tcBorders>
              <w:top w:val="nil"/>
              <w:left w:val="nil"/>
              <w:bottom w:val="single" w:color="auto" w:sz="4" w:space="0"/>
              <w:right w:val="single" w:color="auto" w:sz="4" w:space="0"/>
            </w:tcBorders>
            <w:vAlign w:val="center"/>
          </w:tcPr>
          <w:p w14:paraId="653831A5">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nil"/>
              <w:left w:val="nil"/>
              <w:bottom w:val="single" w:color="auto" w:sz="4" w:space="0"/>
              <w:right w:val="single" w:color="auto" w:sz="4" w:space="0"/>
            </w:tcBorders>
            <w:vAlign w:val="center"/>
          </w:tcPr>
          <w:p w14:paraId="64393F72">
            <w:pPr>
              <w:ind w:firstLine="420"/>
              <w:jc w:val="left"/>
              <w:rPr>
                <w:rFonts w:ascii="宋体" w:hAnsi="宋体"/>
                <w:color w:val="000000" w:themeColor="text1"/>
                <w:sz w:val="21"/>
                <w:szCs w:val="21"/>
                <w14:textFill>
                  <w14:solidFill>
                    <w14:schemeClr w14:val="tx1"/>
                  </w14:solidFill>
                </w14:textFill>
              </w:rPr>
            </w:pPr>
          </w:p>
        </w:tc>
        <w:tc>
          <w:tcPr>
            <w:tcW w:w="284" w:type="pct"/>
            <w:tcBorders>
              <w:top w:val="nil"/>
              <w:left w:val="nil"/>
              <w:bottom w:val="single" w:color="auto" w:sz="4" w:space="0"/>
              <w:right w:val="single" w:color="auto" w:sz="4" w:space="0"/>
            </w:tcBorders>
            <w:vAlign w:val="center"/>
          </w:tcPr>
          <w:p w14:paraId="7DC07404">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0951D318">
            <w:pPr>
              <w:ind w:firstLine="420"/>
              <w:jc w:val="left"/>
              <w:rPr>
                <w:rFonts w:ascii="宋体" w:hAnsi="宋体"/>
                <w:color w:val="000000" w:themeColor="text1"/>
                <w:sz w:val="21"/>
                <w:szCs w:val="21"/>
                <w14:textFill>
                  <w14:solidFill>
                    <w14:schemeClr w14:val="tx1"/>
                  </w14:solidFill>
                </w14:textFill>
              </w:rPr>
            </w:pPr>
          </w:p>
        </w:tc>
      </w:tr>
      <w:tr w14:paraId="5EA2C4D9">
        <w:tblPrEx>
          <w:tblCellMar>
            <w:top w:w="15" w:type="dxa"/>
            <w:left w:w="108" w:type="dxa"/>
            <w:bottom w:w="0" w:type="dxa"/>
            <w:right w:w="108" w:type="dxa"/>
          </w:tblCellMar>
        </w:tblPrEx>
        <w:trPr>
          <w:gridAfter w:val="1"/>
          <w:wAfter w:w="144" w:type="dxa"/>
          <w:trHeight w:val="1620" w:hRule="atLeast"/>
        </w:trPr>
        <w:tc>
          <w:tcPr>
            <w:tcW w:w="284" w:type="pct"/>
            <w:tcBorders>
              <w:top w:val="nil"/>
              <w:left w:val="single" w:color="auto" w:sz="4" w:space="0"/>
              <w:bottom w:val="single" w:color="auto" w:sz="4" w:space="0"/>
              <w:right w:val="single" w:color="auto" w:sz="4" w:space="0"/>
            </w:tcBorders>
            <w:vAlign w:val="center"/>
          </w:tcPr>
          <w:p w14:paraId="6D1D6C55">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文档</w:t>
            </w:r>
          </w:p>
        </w:tc>
        <w:tc>
          <w:tcPr>
            <w:tcW w:w="545" w:type="pct"/>
            <w:tcBorders>
              <w:top w:val="nil"/>
              <w:left w:val="nil"/>
              <w:bottom w:val="single" w:color="auto" w:sz="4" w:space="0"/>
              <w:right w:val="single" w:color="auto" w:sz="4" w:space="0"/>
            </w:tcBorders>
            <w:vAlign w:val="center"/>
          </w:tcPr>
          <w:p w14:paraId="39944790">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运维文档</w:t>
            </w:r>
          </w:p>
        </w:tc>
        <w:tc>
          <w:tcPr>
            <w:tcW w:w="1867" w:type="pct"/>
            <w:tcBorders>
              <w:top w:val="nil"/>
              <w:left w:val="nil"/>
              <w:bottom w:val="single" w:color="auto" w:sz="4" w:space="0"/>
              <w:right w:val="single" w:color="auto" w:sz="4" w:space="0"/>
            </w:tcBorders>
            <w:vAlign w:val="center"/>
          </w:tcPr>
          <w:p w14:paraId="37054AC5">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文档清单：故障/负向事件回溯/复盘报告、巡检记录/</w:t>
            </w:r>
            <w:r>
              <w:rPr>
                <w:rFonts w:ascii="宋体" w:hAnsi="宋体"/>
                <w:color w:val="000000" w:themeColor="text1"/>
                <w:sz w:val="21"/>
                <w:szCs w:val="21"/>
                <w14:textFill>
                  <w14:solidFill>
                    <w14:schemeClr w14:val="tx1"/>
                  </w14:solidFill>
                </w14:textFill>
              </w:rPr>
              <w:t>报告</w:t>
            </w:r>
            <w:r>
              <w:rPr>
                <w:rFonts w:hint="eastAsia" w:ascii="宋体" w:hAnsi="宋体"/>
                <w:color w:val="000000" w:themeColor="text1"/>
                <w:sz w:val="21"/>
                <w:szCs w:val="21"/>
                <w14:textFill>
                  <w14:solidFill>
                    <w14:schemeClr w14:val="tx1"/>
                  </w14:solidFill>
                </w14:textFill>
              </w:rPr>
              <w:t>、需求更改/更新记录、系统更新记录、数据库维护及优化记录、培训学习记录、按月提供服务分析报告和报告总结、按月反馈各科室需求修改进展。</w:t>
            </w:r>
          </w:p>
        </w:tc>
        <w:tc>
          <w:tcPr>
            <w:tcW w:w="169" w:type="pct"/>
            <w:tcBorders>
              <w:top w:val="nil"/>
              <w:left w:val="nil"/>
              <w:bottom w:val="single" w:color="auto" w:sz="4" w:space="0"/>
              <w:right w:val="single" w:color="auto" w:sz="4" w:space="0"/>
            </w:tcBorders>
            <w:vAlign w:val="center"/>
          </w:tcPr>
          <w:p w14:paraId="6AE52BC9">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20</w:t>
            </w:r>
          </w:p>
        </w:tc>
        <w:tc>
          <w:tcPr>
            <w:tcW w:w="1074" w:type="pct"/>
            <w:tcBorders>
              <w:top w:val="nil"/>
              <w:left w:val="nil"/>
              <w:bottom w:val="single" w:color="auto" w:sz="4" w:space="0"/>
              <w:right w:val="single" w:color="auto" w:sz="4" w:space="0"/>
            </w:tcBorders>
            <w:vAlign w:val="center"/>
          </w:tcPr>
          <w:p w14:paraId="4FF1C866">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缺少文档扣0.5分/(个×次)，文档缺陷扣0.1分/(个×次)，扣完为止。</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注：缺陷是指存在内容与本报告/记录无关、内容矛盾或存在严重错误、仅有框架、标题或存在内容严重缺失、适用的标准（方法）错误任意一种情形。</w:t>
            </w:r>
          </w:p>
        </w:tc>
        <w:tc>
          <w:tcPr>
            <w:tcW w:w="284" w:type="pct"/>
            <w:tcBorders>
              <w:top w:val="nil"/>
              <w:left w:val="nil"/>
              <w:bottom w:val="single" w:color="auto" w:sz="4" w:space="0"/>
              <w:right w:val="single" w:color="auto" w:sz="4" w:space="0"/>
            </w:tcBorders>
            <w:vAlign w:val="center"/>
          </w:tcPr>
          <w:p w14:paraId="052BD08E">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35BE1754">
            <w:pPr>
              <w:ind w:firstLine="420"/>
              <w:jc w:val="left"/>
              <w:rPr>
                <w:rFonts w:ascii="宋体" w:hAnsi="宋体"/>
                <w:color w:val="000000" w:themeColor="text1"/>
                <w:sz w:val="21"/>
                <w:szCs w:val="21"/>
                <w14:textFill>
                  <w14:solidFill>
                    <w14:schemeClr w14:val="tx1"/>
                  </w14:solidFill>
                </w14:textFill>
              </w:rPr>
            </w:pPr>
          </w:p>
        </w:tc>
      </w:tr>
      <w:tr w14:paraId="7941B8E6">
        <w:tblPrEx>
          <w:tblCellMar>
            <w:top w:w="15" w:type="dxa"/>
            <w:left w:w="108" w:type="dxa"/>
            <w:bottom w:w="0" w:type="dxa"/>
            <w:right w:w="108" w:type="dxa"/>
          </w:tblCellMar>
        </w:tblPrEx>
        <w:trPr>
          <w:gridAfter w:val="1"/>
          <w:wAfter w:w="144" w:type="dxa"/>
          <w:trHeight w:val="468" w:hRule="atLeast"/>
        </w:trPr>
        <w:tc>
          <w:tcPr>
            <w:tcW w:w="3939" w:type="pct"/>
            <w:gridSpan w:val="5"/>
            <w:vMerge w:val="restart"/>
            <w:tcBorders>
              <w:top w:val="nil"/>
              <w:left w:val="single" w:color="auto" w:sz="4" w:space="0"/>
              <w:bottom w:val="single" w:color="000000" w:sz="4" w:space="0"/>
              <w:right w:val="single" w:color="000000" w:sz="4" w:space="0"/>
            </w:tcBorders>
            <w:vAlign w:val="center"/>
          </w:tcPr>
          <w:p w14:paraId="00CC034A">
            <w:pPr>
              <w:ind w:firstLine="420"/>
              <w:jc w:val="center"/>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总分</w:t>
            </w:r>
          </w:p>
        </w:tc>
        <w:tc>
          <w:tcPr>
            <w:tcW w:w="1002" w:type="pct"/>
            <w:gridSpan w:val="2"/>
            <w:vMerge w:val="restart"/>
            <w:tcBorders>
              <w:top w:val="nil"/>
              <w:left w:val="nil"/>
              <w:bottom w:val="single" w:color="000000" w:sz="4" w:space="0"/>
              <w:right w:val="single" w:color="000000" w:sz="4" w:space="0"/>
            </w:tcBorders>
            <w:vAlign w:val="center"/>
          </w:tcPr>
          <w:p w14:paraId="036C8ADB">
            <w:pPr>
              <w:ind w:firstLine="420"/>
              <w:jc w:val="center"/>
              <w:rPr>
                <w:rFonts w:ascii="宋体" w:hAnsi="宋体"/>
                <w:color w:val="000000" w:themeColor="text1"/>
                <w:sz w:val="21"/>
                <w:szCs w:val="21"/>
                <w14:textFill>
                  <w14:solidFill>
                    <w14:schemeClr w14:val="tx1"/>
                  </w14:solidFill>
                </w14:textFill>
              </w:rPr>
            </w:pPr>
          </w:p>
        </w:tc>
      </w:tr>
      <w:tr w14:paraId="5F072619">
        <w:tblPrEx>
          <w:tblCellMar>
            <w:top w:w="15" w:type="dxa"/>
            <w:left w:w="108" w:type="dxa"/>
            <w:bottom w:w="0" w:type="dxa"/>
            <w:right w:w="108" w:type="dxa"/>
          </w:tblCellMar>
        </w:tblPrEx>
        <w:trPr>
          <w:trHeight w:val="270" w:hRule="atLeast"/>
        </w:trPr>
        <w:tc>
          <w:tcPr>
            <w:tcW w:w="0" w:type="auto"/>
            <w:gridSpan w:val="5"/>
            <w:vMerge w:val="continue"/>
            <w:tcBorders>
              <w:top w:val="nil"/>
              <w:left w:val="single" w:color="auto" w:sz="4" w:space="0"/>
              <w:bottom w:val="single" w:color="000000" w:sz="4" w:space="0"/>
              <w:right w:val="single" w:color="000000" w:sz="4" w:space="0"/>
            </w:tcBorders>
            <w:vAlign w:val="center"/>
          </w:tcPr>
          <w:p w14:paraId="1880CD72">
            <w:pPr>
              <w:ind w:firstLine="420"/>
              <w:jc w:val="left"/>
              <w:rPr>
                <w:rFonts w:ascii="宋体" w:hAnsi="宋体"/>
                <w:color w:val="000000" w:themeColor="text1"/>
                <w:sz w:val="21"/>
                <w:szCs w:val="21"/>
                <w14:textFill>
                  <w14:solidFill>
                    <w14:schemeClr w14:val="tx1"/>
                  </w14:solidFill>
                </w14:textFill>
              </w:rPr>
            </w:pPr>
          </w:p>
        </w:tc>
        <w:tc>
          <w:tcPr>
            <w:tcW w:w="0" w:type="auto"/>
            <w:gridSpan w:val="2"/>
            <w:vMerge w:val="continue"/>
            <w:tcBorders>
              <w:top w:val="nil"/>
              <w:left w:val="nil"/>
              <w:bottom w:val="single" w:color="000000" w:sz="4" w:space="0"/>
              <w:right w:val="single" w:color="000000" w:sz="4" w:space="0"/>
            </w:tcBorders>
            <w:vAlign w:val="center"/>
          </w:tcPr>
          <w:p w14:paraId="0B7B2A64">
            <w:pPr>
              <w:ind w:firstLine="420"/>
              <w:jc w:val="left"/>
              <w:rPr>
                <w:rFonts w:ascii="宋体" w:hAnsi="宋体"/>
                <w:color w:val="000000" w:themeColor="text1"/>
                <w:sz w:val="21"/>
                <w:szCs w:val="21"/>
                <w14:textFill>
                  <w14:solidFill>
                    <w14:schemeClr w14:val="tx1"/>
                  </w14:solidFill>
                </w14:textFill>
              </w:rPr>
            </w:pPr>
          </w:p>
        </w:tc>
        <w:tc>
          <w:tcPr>
            <w:tcW w:w="59" w:type="pct"/>
            <w:tcBorders>
              <w:top w:val="nil"/>
              <w:left w:val="nil"/>
              <w:bottom w:val="nil"/>
              <w:right w:val="nil"/>
            </w:tcBorders>
            <w:noWrap/>
            <w:vAlign w:val="center"/>
          </w:tcPr>
          <w:p w14:paraId="462BF0BA">
            <w:pPr>
              <w:ind w:firstLine="440"/>
              <w:jc w:val="center"/>
              <w:rPr>
                <w:rFonts w:ascii="宋体" w:hAnsi="宋体"/>
                <w:color w:val="000000" w:themeColor="text1"/>
                <w:sz w:val="22"/>
                <w14:textFill>
                  <w14:solidFill>
                    <w14:schemeClr w14:val="tx1"/>
                  </w14:solidFill>
                </w14:textFill>
              </w:rPr>
            </w:pPr>
          </w:p>
        </w:tc>
      </w:tr>
      <w:tr w14:paraId="00682C7A">
        <w:tblPrEx>
          <w:tblCellMar>
            <w:top w:w="15" w:type="dxa"/>
            <w:left w:w="108" w:type="dxa"/>
            <w:bottom w:w="0" w:type="dxa"/>
            <w:right w:w="108" w:type="dxa"/>
          </w:tblCellMar>
        </w:tblPrEx>
        <w:trPr>
          <w:trHeight w:val="270" w:hRule="atLeast"/>
        </w:trPr>
        <w:tc>
          <w:tcPr>
            <w:tcW w:w="829" w:type="pct"/>
            <w:gridSpan w:val="2"/>
            <w:vMerge w:val="restart"/>
            <w:tcBorders>
              <w:top w:val="nil"/>
              <w:left w:val="single" w:color="auto" w:sz="4" w:space="0"/>
              <w:bottom w:val="single" w:color="auto" w:sz="4" w:space="0"/>
              <w:right w:val="single" w:color="auto" w:sz="4" w:space="0"/>
            </w:tcBorders>
            <w:vAlign w:val="center"/>
          </w:tcPr>
          <w:p w14:paraId="7F6BAA65">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填写科室：信息中心</w:t>
            </w:r>
          </w:p>
        </w:tc>
        <w:tc>
          <w:tcPr>
            <w:tcW w:w="3110" w:type="pct"/>
            <w:gridSpan w:val="3"/>
            <w:vMerge w:val="restart"/>
            <w:tcBorders>
              <w:top w:val="nil"/>
              <w:left w:val="nil"/>
              <w:bottom w:val="single" w:color="auto" w:sz="4" w:space="0"/>
              <w:right w:val="single" w:color="auto" w:sz="4" w:space="0"/>
            </w:tcBorders>
            <w:vAlign w:val="center"/>
          </w:tcPr>
          <w:p w14:paraId="1D392E2C">
            <w:pPr>
              <w:ind w:firstLine="42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填写人员：</w:t>
            </w:r>
          </w:p>
        </w:tc>
        <w:tc>
          <w:tcPr>
            <w:tcW w:w="1002" w:type="pct"/>
            <w:gridSpan w:val="2"/>
            <w:vMerge w:val="restart"/>
            <w:tcBorders>
              <w:top w:val="single" w:color="auto" w:sz="4" w:space="0"/>
              <w:left w:val="nil"/>
              <w:bottom w:val="single" w:color="auto" w:sz="4" w:space="0"/>
              <w:right w:val="single" w:color="auto" w:sz="4" w:space="0"/>
            </w:tcBorders>
            <w:vAlign w:val="center"/>
          </w:tcPr>
          <w:p w14:paraId="789CE4B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日期：</w:t>
            </w:r>
          </w:p>
        </w:tc>
        <w:tc>
          <w:tcPr>
            <w:tcW w:w="59" w:type="pct"/>
            <w:tcBorders>
              <w:top w:val="nil"/>
              <w:left w:val="nil"/>
              <w:bottom w:val="nil"/>
              <w:right w:val="nil"/>
            </w:tcBorders>
            <w:vAlign w:val="center"/>
          </w:tcPr>
          <w:p w14:paraId="4B3ED146">
            <w:pPr>
              <w:ind w:firstLine="400"/>
              <w:jc w:val="left"/>
              <w:rPr>
                <w:color w:val="000000" w:themeColor="text1"/>
                <w:sz w:val="20"/>
                <w:szCs w:val="20"/>
                <w14:textFill>
                  <w14:solidFill>
                    <w14:schemeClr w14:val="tx1"/>
                  </w14:solidFill>
                </w14:textFill>
              </w:rPr>
            </w:pPr>
          </w:p>
        </w:tc>
      </w:tr>
      <w:tr w14:paraId="7E714911">
        <w:tblPrEx>
          <w:tblCellMar>
            <w:top w:w="15" w:type="dxa"/>
            <w:left w:w="108" w:type="dxa"/>
            <w:bottom w:w="0" w:type="dxa"/>
            <w:right w:w="108" w:type="dxa"/>
          </w:tblCellMar>
        </w:tblPrEx>
        <w:trPr>
          <w:trHeight w:val="270" w:hRule="atLeast"/>
        </w:trPr>
        <w:tc>
          <w:tcPr>
            <w:tcW w:w="0" w:type="auto"/>
            <w:gridSpan w:val="2"/>
            <w:vMerge w:val="continue"/>
            <w:tcBorders>
              <w:top w:val="nil"/>
              <w:left w:val="single" w:color="auto" w:sz="4" w:space="0"/>
              <w:bottom w:val="single" w:color="auto" w:sz="4" w:space="0"/>
              <w:right w:val="single" w:color="auto" w:sz="4" w:space="0"/>
            </w:tcBorders>
            <w:vAlign w:val="center"/>
          </w:tcPr>
          <w:p w14:paraId="78C8EBCF">
            <w:pPr>
              <w:ind w:firstLine="440"/>
              <w:jc w:val="left"/>
              <w:rPr>
                <w:rFonts w:ascii="宋体" w:hAnsi="宋体"/>
                <w:color w:val="000000" w:themeColor="text1"/>
                <w:sz w:val="22"/>
                <w14:textFill>
                  <w14:solidFill>
                    <w14:schemeClr w14:val="tx1"/>
                  </w14:solidFill>
                </w14:textFill>
              </w:rPr>
            </w:pPr>
          </w:p>
        </w:tc>
        <w:tc>
          <w:tcPr>
            <w:tcW w:w="0" w:type="auto"/>
            <w:gridSpan w:val="3"/>
            <w:vMerge w:val="continue"/>
            <w:tcBorders>
              <w:top w:val="nil"/>
              <w:left w:val="nil"/>
              <w:bottom w:val="single" w:color="auto" w:sz="4" w:space="0"/>
              <w:right w:val="single" w:color="auto" w:sz="4" w:space="0"/>
            </w:tcBorders>
            <w:vAlign w:val="center"/>
          </w:tcPr>
          <w:p w14:paraId="566DCDA5">
            <w:pPr>
              <w:ind w:firstLine="440"/>
              <w:jc w:val="left"/>
              <w:rPr>
                <w:rFonts w:ascii="宋体" w:hAnsi="宋体"/>
                <w:color w:val="000000" w:themeColor="text1"/>
                <w:sz w:val="22"/>
                <w14:textFill>
                  <w14:solidFill>
                    <w14:schemeClr w14:val="tx1"/>
                  </w14:solidFill>
                </w14:textFill>
              </w:rPr>
            </w:pPr>
          </w:p>
        </w:tc>
        <w:tc>
          <w:tcPr>
            <w:tcW w:w="0" w:type="auto"/>
            <w:gridSpan w:val="2"/>
            <w:vMerge w:val="continue"/>
            <w:tcBorders>
              <w:top w:val="single" w:color="auto" w:sz="4" w:space="0"/>
              <w:left w:val="nil"/>
              <w:bottom w:val="single" w:color="auto" w:sz="4" w:space="0"/>
              <w:right w:val="single" w:color="auto" w:sz="4" w:space="0"/>
            </w:tcBorders>
            <w:vAlign w:val="center"/>
          </w:tcPr>
          <w:p w14:paraId="7BE4BAE4">
            <w:pPr>
              <w:ind w:firstLine="440"/>
              <w:jc w:val="left"/>
              <w:rPr>
                <w:rFonts w:ascii="宋体" w:hAnsi="宋体"/>
                <w:color w:val="000000" w:themeColor="text1"/>
                <w:sz w:val="22"/>
                <w14:textFill>
                  <w14:solidFill>
                    <w14:schemeClr w14:val="tx1"/>
                  </w14:solidFill>
                </w14:textFill>
              </w:rPr>
            </w:pPr>
          </w:p>
        </w:tc>
        <w:tc>
          <w:tcPr>
            <w:tcW w:w="59" w:type="pct"/>
            <w:tcBorders>
              <w:top w:val="nil"/>
              <w:left w:val="nil"/>
              <w:bottom w:val="nil"/>
              <w:right w:val="nil"/>
            </w:tcBorders>
            <w:noWrap/>
            <w:vAlign w:val="center"/>
          </w:tcPr>
          <w:p w14:paraId="038B8824">
            <w:pPr>
              <w:ind w:firstLine="440"/>
              <w:jc w:val="left"/>
              <w:rPr>
                <w:rFonts w:ascii="宋体" w:hAnsi="宋体"/>
                <w:color w:val="000000" w:themeColor="text1"/>
                <w:sz w:val="22"/>
                <w14:textFill>
                  <w14:solidFill>
                    <w14:schemeClr w14:val="tx1"/>
                  </w14:solidFill>
                </w14:textFill>
              </w:rPr>
            </w:pPr>
          </w:p>
        </w:tc>
      </w:tr>
    </w:tbl>
    <w:p w14:paraId="253D5C21">
      <w:pPr>
        <w:spacing w:before="120" w:after="120" w:line="288" w:lineRule="auto"/>
        <w:jc w:val="left"/>
        <w:rPr>
          <w:rFonts w:ascii="宋体" w:hAnsi="宋体" w:cs="宋体"/>
          <w:color w:val="000000" w:themeColor="text1"/>
          <w:sz w:val="24"/>
          <w:szCs w:val="24"/>
          <w14:textFill>
            <w14:solidFill>
              <w14:schemeClr w14:val="tx1"/>
            </w14:solidFill>
          </w14:textFill>
        </w:rPr>
      </w:pPr>
    </w:p>
    <w:p w14:paraId="349752EB">
      <w:pPr>
        <w:ind w:firstLine="560"/>
        <w:rPr>
          <w:color w:val="FF0000"/>
        </w:rPr>
      </w:pPr>
      <w:r>
        <w:rPr>
          <w:rFonts w:hint="eastAsia"/>
          <w:color w:val="FF0000"/>
        </w:rPr>
        <w:br w:type="page"/>
      </w:r>
    </w:p>
    <w:p w14:paraId="6DF7CF81">
      <w:pPr>
        <w:pStyle w:val="4"/>
        <w:numPr>
          <w:ilvl w:val="1"/>
          <w:numId w:val="0"/>
        </w:numPr>
      </w:pPr>
      <w:r>
        <w:rPr>
          <w:rFonts w:hint="eastAsia"/>
        </w:rPr>
        <w:t>附件三：驻场人员清单考核与管理</w:t>
      </w:r>
    </w:p>
    <w:p w14:paraId="31891A39">
      <w:pPr>
        <w:adjustRightInd w:val="0"/>
        <w:snapToGrid w:val="0"/>
        <w:ind w:firstLine="440"/>
        <w:rPr>
          <w:rFonts w:ascii="宋体" w:hAnsi="宋体" w:cs="宋体"/>
          <w:sz w:val="22"/>
        </w:rPr>
      </w:pPr>
      <w:r>
        <w:rPr>
          <w:rFonts w:hint="eastAsia" w:ascii="宋体" w:hAnsi="宋体" w:cs="宋体"/>
          <w:sz w:val="22"/>
        </w:rPr>
        <w:t>每个考核周期</w:t>
      </w:r>
      <w:r>
        <w:rPr>
          <w:rFonts w:hint="eastAsia" w:ascii="宋体" w:hAnsi="宋体" w:cs="宋体"/>
          <w:sz w:val="22"/>
          <w:lang w:eastAsia="zh-CN"/>
        </w:rPr>
        <w:t>（</w:t>
      </w:r>
      <w:r>
        <w:rPr>
          <w:rFonts w:hint="eastAsia" w:ascii="宋体" w:hAnsi="宋体" w:cs="宋体"/>
          <w:sz w:val="22"/>
          <w:lang w:val="en-US" w:eastAsia="zh-CN"/>
        </w:rPr>
        <w:t>4个月</w:t>
      </w:r>
      <w:r>
        <w:rPr>
          <w:rFonts w:hint="eastAsia" w:ascii="宋体" w:hAnsi="宋体" w:cs="宋体"/>
          <w:sz w:val="22"/>
          <w:lang w:eastAsia="zh-CN"/>
        </w:rPr>
        <w:t>）</w:t>
      </w:r>
      <w:r>
        <w:rPr>
          <w:rFonts w:hint="eastAsia" w:ascii="宋体" w:hAnsi="宋体" w:cs="宋体"/>
          <w:sz w:val="22"/>
        </w:rPr>
        <w:t>内，医院根据</w:t>
      </w:r>
      <w:r>
        <w:rPr>
          <w:rFonts w:hint="eastAsia" w:ascii="宋体" w:hAnsi="宋体" w:cs="宋体"/>
          <w:sz w:val="22"/>
          <w:lang w:val="en-US" w:eastAsia="zh-CN"/>
        </w:rPr>
        <w:t>驻场人员</w:t>
      </w:r>
      <w:r>
        <w:rPr>
          <w:rFonts w:hint="eastAsia" w:ascii="宋体" w:hAnsi="宋体" w:cs="宋体"/>
          <w:sz w:val="22"/>
        </w:rPr>
        <w:t>工作质量、任务完成情况、服务响应情况、制度执行情况等进行考核评分。对于考核周期内得分低于60分的驻场人员，甲方可通过书面文件、电子邮件、微信、QQ等形式向乙方发出整改或更换通知。乙方应在收到通知后7个工作日内完成人员更换，并提交符合岗位要求的替补人员。替补人员须经甲方审核评估通过后方可正式上岗。</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1233"/>
        <w:gridCol w:w="4289"/>
        <w:gridCol w:w="1106"/>
        <w:gridCol w:w="504"/>
        <w:gridCol w:w="504"/>
      </w:tblGrid>
      <w:tr w14:paraId="2DA5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B472B03">
            <w:pPr>
              <w:adjustRightInd w:val="0"/>
              <w:snapToGrid w:val="0"/>
              <w:ind w:firstLine="0" w:firstLineChars="0"/>
              <w:rPr>
                <w:rFonts w:ascii="宋体" w:hAnsi="宋体" w:cs="宋体"/>
                <w:sz w:val="22"/>
              </w:rPr>
            </w:pPr>
            <w:r>
              <w:rPr>
                <w:rFonts w:hint="eastAsia" w:ascii="宋体" w:hAnsi="宋体" w:cs="宋体"/>
                <w:sz w:val="22"/>
              </w:rPr>
              <w:t>序号</w:t>
            </w:r>
          </w:p>
        </w:tc>
        <w:tc>
          <w:tcPr>
            <w:tcW w:w="1279" w:type="dxa"/>
            <w:vAlign w:val="center"/>
          </w:tcPr>
          <w:p w14:paraId="7C60E204">
            <w:pPr>
              <w:adjustRightInd w:val="0"/>
              <w:snapToGrid w:val="0"/>
              <w:ind w:firstLine="0" w:firstLineChars="0"/>
              <w:rPr>
                <w:rFonts w:ascii="宋体" w:hAnsi="宋体" w:cs="宋体"/>
                <w:sz w:val="22"/>
              </w:rPr>
            </w:pPr>
            <w:r>
              <w:rPr>
                <w:rFonts w:hint="eastAsia" w:ascii="宋体" w:hAnsi="宋体" w:cs="宋体"/>
                <w:sz w:val="22"/>
              </w:rPr>
              <w:t>考核维度</w:t>
            </w:r>
          </w:p>
        </w:tc>
        <w:tc>
          <w:tcPr>
            <w:tcW w:w="4929" w:type="dxa"/>
            <w:vAlign w:val="center"/>
          </w:tcPr>
          <w:p w14:paraId="04194D66">
            <w:pPr>
              <w:adjustRightInd w:val="0"/>
              <w:snapToGrid w:val="0"/>
              <w:ind w:firstLine="440"/>
              <w:jc w:val="center"/>
              <w:rPr>
                <w:rFonts w:ascii="宋体" w:hAnsi="宋体" w:cs="宋体"/>
                <w:sz w:val="22"/>
              </w:rPr>
            </w:pPr>
            <w:r>
              <w:rPr>
                <w:rFonts w:hint="eastAsia" w:ascii="宋体" w:hAnsi="宋体" w:cs="宋体"/>
                <w:sz w:val="22"/>
              </w:rPr>
              <w:t>考核内容说明</w:t>
            </w:r>
          </w:p>
        </w:tc>
        <w:tc>
          <w:tcPr>
            <w:tcW w:w="587" w:type="dxa"/>
            <w:vAlign w:val="center"/>
          </w:tcPr>
          <w:p w14:paraId="53AB3C7B">
            <w:pPr>
              <w:adjustRightInd w:val="0"/>
              <w:snapToGrid w:val="0"/>
              <w:ind w:firstLine="440"/>
              <w:rPr>
                <w:rFonts w:ascii="宋体" w:hAnsi="宋体" w:cs="宋体"/>
                <w:sz w:val="22"/>
              </w:rPr>
            </w:pPr>
            <w:r>
              <w:rPr>
                <w:rFonts w:hint="eastAsia" w:ascii="宋体" w:hAnsi="宋体" w:cs="宋体"/>
                <w:sz w:val="22"/>
              </w:rPr>
              <w:t>满分</w:t>
            </w:r>
          </w:p>
        </w:tc>
        <w:tc>
          <w:tcPr>
            <w:tcW w:w="517" w:type="dxa"/>
            <w:vAlign w:val="center"/>
          </w:tcPr>
          <w:p w14:paraId="2CDBFA84">
            <w:pPr>
              <w:adjustRightInd w:val="0"/>
              <w:snapToGrid w:val="0"/>
              <w:ind w:firstLine="0" w:firstLineChars="0"/>
              <w:rPr>
                <w:rFonts w:ascii="宋体" w:hAnsi="宋体" w:cs="宋体"/>
                <w:sz w:val="22"/>
              </w:rPr>
            </w:pPr>
            <w:r>
              <w:rPr>
                <w:rFonts w:hint="eastAsia" w:ascii="宋体" w:hAnsi="宋体" w:cs="宋体"/>
                <w:sz w:val="22"/>
              </w:rPr>
              <w:t>得分</w:t>
            </w:r>
          </w:p>
        </w:tc>
        <w:tc>
          <w:tcPr>
            <w:tcW w:w="517" w:type="dxa"/>
            <w:vAlign w:val="center"/>
          </w:tcPr>
          <w:p w14:paraId="5D60246E">
            <w:pPr>
              <w:adjustRightInd w:val="0"/>
              <w:snapToGrid w:val="0"/>
              <w:ind w:firstLine="0" w:firstLineChars="0"/>
              <w:rPr>
                <w:rFonts w:ascii="宋体" w:hAnsi="宋体" w:cs="宋体"/>
                <w:sz w:val="22"/>
              </w:rPr>
            </w:pPr>
            <w:r>
              <w:rPr>
                <w:rFonts w:hint="eastAsia" w:ascii="宋体" w:hAnsi="宋体" w:cs="宋体"/>
                <w:sz w:val="22"/>
              </w:rPr>
              <w:t>备注</w:t>
            </w:r>
          </w:p>
        </w:tc>
      </w:tr>
      <w:tr w14:paraId="5EDC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8068237">
            <w:pPr>
              <w:adjustRightInd w:val="0"/>
              <w:snapToGrid w:val="0"/>
              <w:ind w:firstLine="440"/>
              <w:jc w:val="center"/>
              <w:rPr>
                <w:rFonts w:ascii="宋体" w:hAnsi="宋体" w:cs="宋体"/>
                <w:sz w:val="22"/>
              </w:rPr>
            </w:pPr>
            <w:r>
              <w:rPr>
                <w:rFonts w:hint="eastAsia" w:ascii="宋体" w:hAnsi="宋体" w:cs="宋体"/>
                <w:sz w:val="22"/>
              </w:rPr>
              <w:t>1</w:t>
            </w:r>
          </w:p>
        </w:tc>
        <w:tc>
          <w:tcPr>
            <w:tcW w:w="1279" w:type="dxa"/>
            <w:shd w:val="clear"/>
            <w:vAlign w:val="center"/>
          </w:tcPr>
          <w:p w14:paraId="485D9AF6">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作息时间</w:t>
            </w:r>
          </w:p>
        </w:tc>
        <w:tc>
          <w:tcPr>
            <w:tcW w:w="4929" w:type="dxa"/>
            <w:shd w:val="clear"/>
            <w:vAlign w:val="center"/>
          </w:tcPr>
          <w:p w14:paraId="0992C4FB">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满足合同要求，按时上下班。</w:t>
            </w:r>
            <w:r>
              <w:rPr>
                <w:rFonts w:hint="eastAsia" w:ascii="宋体" w:hAnsi="宋体" w:cs="宋体"/>
                <w:sz w:val="22"/>
              </w:rPr>
              <w:br w:type="textWrapping"/>
            </w:r>
            <w:r>
              <w:rPr>
                <w:rFonts w:hint="eastAsia" w:ascii="宋体" w:hAnsi="宋体" w:cs="宋体"/>
                <w:sz w:val="22"/>
              </w:rPr>
              <w:t>如果出现迟到或早退：每次扣 5 分；</w:t>
            </w:r>
            <w:r>
              <w:rPr>
                <w:rFonts w:hint="eastAsia" w:ascii="宋体" w:hAnsi="宋体" w:cs="宋体"/>
                <w:sz w:val="22"/>
              </w:rPr>
              <w:br w:type="textWrapping"/>
            </w:r>
            <w:r>
              <w:rPr>
                <w:rFonts w:hint="eastAsia" w:ascii="宋体" w:hAnsi="宋体" w:cs="宋体"/>
                <w:sz w:val="22"/>
              </w:rPr>
              <w:t>如果出现旷工：每天旷工扣 10 分。</w:t>
            </w:r>
          </w:p>
        </w:tc>
        <w:tc>
          <w:tcPr>
            <w:tcW w:w="587" w:type="dxa"/>
            <w:shd w:val="clear"/>
            <w:vAlign w:val="center"/>
          </w:tcPr>
          <w:p w14:paraId="0AE6BBC8">
            <w:pPr>
              <w:adjustRightInd w:val="0"/>
              <w:snapToGrid w:val="0"/>
              <w:ind w:firstLine="440" w:firstLineChars="200"/>
              <w:jc w:val="center"/>
              <w:rPr>
                <w:rFonts w:ascii="宋体" w:hAnsi="宋体" w:eastAsia="宋体" w:cs="宋体"/>
                <w:kern w:val="2"/>
                <w:sz w:val="22"/>
                <w:szCs w:val="22"/>
                <w:lang w:val="en-US" w:eastAsia="zh-CN" w:bidi="ar-SA"/>
              </w:rPr>
            </w:pPr>
            <w:r>
              <w:rPr>
                <w:rFonts w:hint="eastAsia" w:ascii="宋体" w:hAnsi="宋体" w:cs="宋体"/>
                <w:sz w:val="22"/>
              </w:rPr>
              <w:t>30</w:t>
            </w:r>
          </w:p>
        </w:tc>
        <w:tc>
          <w:tcPr>
            <w:tcW w:w="517" w:type="dxa"/>
            <w:shd w:val="clear"/>
            <w:vAlign w:val="center"/>
          </w:tcPr>
          <w:p w14:paraId="3CEAEA2B">
            <w:pPr>
              <w:adjustRightInd w:val="0"/>
              <w:snapToGrid w:val="0"/>
              <w:ind w:firstLine="440" w:firstLineChars="200"/>
              <w:jc w:val="center"/>
              <w:rPr>
                <w:rFonts w:ascii="宋体" w:hAnsi="宋体" w:eastAsia="宋体" w:cs="宋体"/>
                <w:kern w:val="2"/>
                <w:sz w:val="22"/>
                <w:szCs w:val="22"/>
                <w:lang w:val="en-US" w:eastAsia="zh-CN" w:bidi="ar-SA"/>
              </w:rPr>
            </w:pPr>
          </w:p>
        </w:tc>
        <w:tc>
          <w:tcPr>
            <w:tcW w:w="517" w:type="dxa"/>
            <w:shd w:val="clear"/>
            <w:vAlign w:val="center"/>
          </w:tcPr>
          <w:p w14:paraId="4A2456A6">
            <w:pPr>
              <w:adjustRightInd w:val="0"/>
              <w:snapToGrid w:val="0"/>
              <w:ind w:firstLine="440" w:firstLineChars="200"/>
              <w:jc w:val="center"/>
              <w:rPr>
                <w:rFonts w:ascii="宋体" w:hAnsi="宋体" w:eastAsia="宋体" w:cs="宋体"/>
                <w:kern w:val="2"/>
                <w:sz w:val="22"/>
                <w:szCs w:val="22"/>
                <w:lang w:val="en-US" w:eastAsia="zh-CN" w:bidi="ar-SA"/>
              </w:rPr>
            </w:pPr>
          </w:p>
        </w:tc>
      </w:tr>
      <w:tr w14:paraId="1521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1CA4BB3C">
            <w:pPr>
              <w:adjustRightInd w:val="0"/>
              <w:snapToGrid w:val="0"/>
              <w:ind w:firstLine="440"/>
              <w:jc w:val="center"/>
              <w:rPr>
                <w:rFonts w:ascii="宋体" w:hAnsi="宋体" w:cs="宋体"/>
                <w:sz w:val="22"/>
              </w:rPr>
            </w:pPr>
            <w:r>
              <w:rPr>
                <w:rFonts w:hint="eastAsia" w:ascii="宋体" w:hAnsi="宋体" w:cs="宋体"/>
                <w:sz w:val="22"/>
              </w:rPr>
              <w:t>2</w:t>
            </w:r>
          </w:p>
        </w:tc>
        <w:tc>
          <w:tcPr>
            <w:tcW w:w="1279" w:type="dxa"/>
            <w:shd w:val="clear"/>
            <w:vAlign w:val="center"/>
          </w:tcPr>
          <w:p w14:paraId="1F35E5E7">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工作态度</w:t>
            </w:r>
          </w:p>
        </w:tc>
        <w:tc>
          <w:tcPr>
            <w:tcW w:w="4929" w:type="dxa"/>
            <w:shd w:val="clear"/>
            <w:vAlign w:val="center"/>
          </w:tcPr>
          <w:p w14:paraId="3F666E8B">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积极主动，配合度高，沟通顺畅。</w:t>
            </w:r>
            <w:r>
              <w:rPr>
                <w:rFonts w:hint="eastAsia" w:ascii="宋体" w:hAnsi="宋体" w:cs="宋体"/>
                <w:sz w:val="22"/>
              </w:rPr>
              <w:br w:type="textWrapping"/>
            </w:r>
            <w:r>
              <w:rPr>
                <w:rFonts w:hint="eastAsia" w:ascii="宋体" w:hAnsi="宋体" w:cs="宋体"/>
                <w:sz w:val="22"/>
              </w:rPr>
              <w:t>如果</w:t>
            </w:r>
            <w:r>
              <w:rPr>
                <w:rFonts w:hint="eastAsia" w:ascii="宋体" w:hAnsi="宋体" w:cs="宋体"/>
                <w:sz w:val="22"/>
                <w:lang w:val="en-US" w:eastAsia="zh-CN"/>
              </w:rPr>
              <w:t>驻场</w:t>
            </w:r>
            <w:r>
              <w:rPr>
                <w:rFonts w:hint="eastAsia" w:ascii="宋体" w:hAnsi="宋体" w:cs="宋体"/>
                <w:sz w:val="22"/>
              </w:rPr>
              <w:t>人员处理问题态度恶劣，与医院工作人员发生争吵，或者故意推诿、拖延的，经采购人确认属实的：每次扣 5 分。</w:t>
            </w:r>
          </w:p>
        </w:tc>
        <w:tc>
          <w:tcPr>
            <w:tcW w:w="587" w:type="dxa"/>
            <w:shd w:val="clear"/>
            <w:vAlign w:val="center"/>
          </w:tcPr>
          <w:p w14:paraId="2F63A711">
            <w:pPr>
              <w:adjustRightInd w:val="0"/>
              <w:snapToGrid w:val="0"/>
              <w:ind w:firstLine="440" w:firstLineChars="200"/>
              <w:jc w:val="center"/>
              <w:rPr>
                <w:rFonts w:ascii="宋体" w:hAnsi="宋体" w:eastAsia="宋体" w:cs="宋体"/>
                <w:kern w:val="2"/>
                <w:sz w:val="22"/>
                <w:szCs w:val="22"/>
                <w:lang w:val="en-US" w:eastAsia="zh-CN" w:bidi="ar-SA"/>
              </w:rPr>
            </w:pPr>
            <w:r>
              <w:rPr>
                <w:rFonts w:hint="eastAsia" w:ascii="宋体" w:hAnsi="宋体" w:cs="宋体"/>
                <w:sz w:val="22"/>
              </w:rPr>
              <w:t>20</w:t>
            </w:r>
          </w:p>
        </w:tc>
        <w:tc>
          <w:tcPr>
            <w:tcW w:w="517" w:type="dxa"/>
            <w:shd w:val="clear"/>
            <w:vAlign w:val="center"/>
          </w:tcPr>
          <w:p w14:paraId="2910003C">
            <w:pPr>
              <w:adjustRightInd w:val="0"/>
              <w:snapToGrid w:val="0"/>
              <w:ind w:firstLine="440" w:firstLineChars="200"/>
              <w:jc w:val="center"/>
              <w:rPr>
                <w:rFonts w:ascii="宋体" w:hAnsi="宋体" w:eastAsia="宋体" w:cs="宋体"/>
                <w:kern w:val="2"/>
                <w:sz w:val="22"/>
                <w:szCs w:val="22"/>
                <w:lang w:val="en-US" w:eastAsia="zh-CN" w:bidi="ar-SA"/>
              </w:rPr>
            </w:pPr>
          </w:p>
        </w:tc>
        <w:tc>
          <w:tcPr>
            <w:tcW w:w="517" w:type="dxa"/>
            <w:shd w:val="clear"/>
            <w:vAlign w:val="center"/>
          </w:tcPr>
          <w:p w14:paraId="4EDF6628">
            <w:pPr>
              <w:adjustRightInd w:val="0"/>
              <w:snapToGrid w:val="0"/>
              <w:ind w:firstLine="440" w:firstLineChars="200"/>
              <w:jc w:val="center"/>
              <w:rPr>
                <w:rFonts w:ascii="宋体" w:hAnsi="宋体" w:eastAsia="宋体" w:cs="宋体"/>
                <w:kern w:val="2"/>
                <w:sz w:val="22"/>
                <w:szCs w:val="22"/>
                <w:lang w:val="en-US" w:eastAsia="zh-CN" w:bidi="ar-SA"/>
              </w:rPr>
            </w:pPr>
          </w:p>
        </w:tc>
      </w:tr>
      <w:tr w14:paraId="2870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E6049A">
            <w:pPr>
              <w:adjustRightInd w:val="0"/>
              <w:snapToGrid w:val="0"/>
              <w:ind w:firstLine="440"/>
              <w:jc w:val="center"/>
              <w:rPr>
                <w:rFonts w:ascii="宋体" w:hAnsi="宋体" w:cs="宋体"/>
                <w:sz w:val="22"/>
              </w:rPr>
            </w:pPr>
            <w:r>
              <w:rPr>
                <w:rFonts w:hint="eastAsia" w:ascii="宋体" w:hAnsi="宋体" w:cs="宋体"/>
                <w:sz w:val="22"/>
              </w:rPr>
              <w:t>3</w:t>
            </w:r>
          </w:p>
        </w:tc>
        <w:tc>
          <w:tcPr>
            <w:tcW w:w="1279" w:type="dxa"/>
            <w:shd w:val="clear"/>
            <w:vAlign w:val="center"/>
          </w:tcPr>
          <w:p w14:paraId="0217D2E8">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响应、处理时效</w:t>
            </w:r>
          </w:p>
        </w:tc>
        <w:tc>
          <w:tcPr>
            <w:tcW w:w="4929" w:type="dxa"/>
            <w:shd w:val="clear"/>
            <w:vAlign w:val="center"/>
          </w:tcPr>
          <w:p w14:paraId="704CF3C5">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问题、需求响应及时，处理迅速。</w:t>
            </w:r>
            <w:r>
              <w:rPr>
                <w:rFonts w:hint="eastAsia" w:ascii="宋体" w:hAnsi="宋体" w:cs="宋体"/>
                <w:sz w:val="22"/>
              </w:rPr>
              <w:br w:type="textWrapping"/>
            </w:r>
            <w:r>
              <w:rPr>
                <w:rFonts w:hint="eastAsia" w:ascii="宋体" w:hAnsi="宋体" w:cs="宋体"/>
                <w:sz w:val="22"/>
              </w:rPr>
              <w:t>以下情况每次扣 5 分：</w:t>
            </w:r>
            <w:r>
              <w:rPr>
                <w:rFonts w:hint="eastAsia" w:ascii="宋体" w:hAnsi="宋体" w:cs="宋体"/>
                <w:sz w:val="22"/>
              </w:rPr>
              <w:br w:type="textWrapping"/>
            </w:r>
            <w:r>
              <w:rPr>
                <w:rFonts w:hint="eastAsia" w:ascii="宋体" w:hAnsi="宋体" w:cs="宋体"/>
                <w:sz w:val="22"/>
              </w:rPr>
              <w:t>1. 应用系统因非计划的数据库原因或应用系统自身故障原因造成宕机超过半小时的；</w:t>
            </w:r>
            <w:r>
              <w:rPr>
                <w:rFonts w:hint="eastAsia" w:ascii="宋体" w:hAnsi="宋体" w:cs="宋体"/>
                <w:sz w:val="22"/>
              </w:rPr>
              <w:br w:type="textWrapping"/>
            </w:r>
            <w:r>
              <w:rPr>
                <w:rFonts w:hint="eastAsia" w:ascii="宋体" w:hAnsi="宋体" w:cs="宋体"/>
                <w:sz w:val="22"/>
              </w:rPr>
              <w:t>2. 针对要求服务的内容，驻场人员处理态度恶劣拒不执行，经医院确认属实的；</w:t>
            </w:r>
            <w:r>
              <w:rPr>
                <w:rFonts w:hint="eastAsia" w:ascii="宋体" w:hAnsi="宋体" w:cs="宋体"/>
                <w:sz w:val="22"/>
              </w:rPr>
              <w:br w:type="textWrapping"/>
            </w:r>
            <w:r>
              <w:rPr>
                <w:rFonts w:hint="eastAsia" w:ascii="宋体" w:hAnsi="宋体" w:cs="宋体"/>
                <w:sz w:val="22"/>
              </w:rPr>
              <w:t>3. 对接口对接、开发需求、程序 BUG 没有响应，或处理超出双方约定时间段 15 天仍无法完成的。</w:t>
            </w:r>
          </w:p>
        </w:tc>
        <w:tc>
          <w:tcPr>
            <w:tcW w:w="587" w:type="dxa"/>
            <w:shd w:val="clear"/>
            <w:vAlign w:val="center"/>
          </w:tcPr>
          <w:p w14:paraId="0C8288CB">
            <w:pPr>
              <w:adjustRightInd w:val="0"/>
              <w:snapToGrid w:val="0"/>
              <w:ind w:firstLine="440" w:firstLineChars="200"/>
              <w:jc w:val="center"/>
              <w:rPr>
                <w:rFonts w:ascii="宋体" w:hAnsi="宋体" w:eastAsia="宋体" w:cs="宋体"/>
                <w:kern w:val="2"/>
                <w:sz w:val="22"/>
                <w:szCs w:val="22"/>
                <w:lang w:val="en-US" w:eastAsia="zh-CN" w:bidi="ar-SA"/>
              </w:rPr>
            </w:pPr>
            <w:r>
              <w:rPr>
                <w:rFonts w:hint="eastAsia" w:ascii="宋体" w:hAnsi="宋体" w:cs="宋体"/>
                <w:sz w:val="22"/>
              </w:rPr>
              <w:t>30</w:t>
            </w:r>
          </w:p>
        </w:tc>
        <w:tc>
          <w:tcPr>
            <w:tcW w:w="517" w:type="dxa"/>
            <w:shd w:val="clear"/>
            <w:vAlign w:val="center"/>
          </w:tcPr>
          <w:p w14:paraId="19A63BB0">
            <w:pPr>
              <w:adjustRightInd w:val="0"/>
              <w:snapToGrid w:val="0"/>
              <w:ind w:firstLine="440" w:firstLineChars="200"/>
              <w:jc w:val="center"/>
              <w:rPr>
                <w:rFonts w:ascii="宋体" w:hAnsi="宋体" w:eastAsia="宋体" w:cs="宋体"/>
                <w:kern w:val="2"/>
                <w:sz w:val="22"/>
                <w:szCs w:val="22"/>
                <w:lang w:val="en-US" w:eastAsia="zh-CN" w:bidi="ar-SA"/>
              </w:rPr>
            </w:pPr>
          </w:p>
        </w:tc>
        <w:tc>
          <w:tcPr>
            <w:tcW w:w="517" w:type="dxa"/>
            <w:shd w:val="clear"/>
            <w:vAlign w:val="center"/>
          </w:tcPr>
          <w:p w14:paraId="6AB33A4D">
            <w:pPr>
              <w:adjustRightInd w:val="0"/>
              <w:snapToGrid w:val="0"/>
              <w:ind w:firstLine="440" w:firstLineChars="200"/>
              <w:jc w:val="center"/>
              <w:rPr>
                <w:rFonts w:ascii="宋体" w:hAnsi="宋体" w:eastAsia="宋体" w:cs="宋体"/>
                <w:kern w:val="2"/>
                <w:sz w:val="22"/>
                <w:szCs w:val="22"/>
                <w:lang w:val="en-US" w:eastAsia="zh-CN" w:bidi="ar-SA"/>
              </w:rPr>
            </w:pPr>
          </w:p>
        </w:tc>
      </w:tr>
      <w:tr w14:paraId="5673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18AC4DE">
            <w:pPr>
              <w:adjustRightInd w:val="0"/>
              <w:snapToGrid w:val="0"/>
              <w:ind w:firstLine="440"/>
              <w:jc w:val="center"/>
              <w:rPr>
                <w:rFonts w:ascii="宋体" w:hAnsi="宋体" w:cs="宋体"/>
                <w:sz w:val="22"/>
              </w:rPr>
            </w:pPr>
            <w:r>
              <w:rPr>
                <w:rFonts w:hint="eastAsia" w:ascii="宋体" w:hAnsi="宋体" w:cs="宋体"/>
                <w:sz w:val="22"/>
              </w:rPr>
              <w:t>4</w:t>
            </w:r>
          </w:p>
        </w:tc>
        <w:tc>
          <w:tcPr>
            <w:tcW w:w="1279" w:type="dxa"/>
            <w:shd w:val="clear"/>
            <w:vAlign w:val="center"/>
          </w:tcPr>
          <w:p w14:paraId="56846A62">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任务按时完成</w:t>
            </w:r>
          </w:p>
        </w:tc>
        <w:tc>
          <w:tcPr>
            <w:tcW w:w="4929" w:type="dxa"/>
            <w:shd w:val="clear"/>
            <w:vAlign w:val="center"/>
          </w:tcPr>
          <w:p w14:paraId="294A362E">
            <w:pPr>
              <w:adjustRightInd w:val="0"/>
              <w:snapToGrid w:val="0"/>
              <w:ind w:firstLine="0" w:firstLineChars="0"/>
              <w:rPr>
                <w:rFonts w:ascii="宋体" w:hAnsi="宋体" w:eastAsia="宋体" w:cs="宋体"/>
                <w:kern w:val="2"/>
                <w:sz w:val="22"/>
                <w:szCs w:val="22"/>
                <w:lang w:val="en-US" w:eastAsia="zh-CN" w:bidi="ar-SA"/>
              </w:rPr>
            </w:pPr>
            <w:r>
              <w:rPr>
                <w:rFonts w:hint="eastAsia" w:ascii="宋体" w:hAnsi="宋体" w:cs="宋体"/>
                <w:sz w:val="22"/>
              </w:rPr>
              <w:t>已计划交付的任务，按时完成。</w:t>
            </w:r>
            <w:r>
              <w:rPr>
                <w:rFonts w:hint="eastAsia" w:ascii="宋体" w:hAnsi="宋体" w:cs="宋体"/>
                <w:sz w:val="22"/>
              </w:rPr>
              <w:br w:type="textWrapping"/>
            </w:r>
            <w:r>
              <w:rPr>
                <w:rFonts w:hint="eastAsia" w:ascii="宋体" w:hAnsi="宋体" w:cs="宋体"/>
                <w:sz w:val="22"/>
              </w:rPr>
              <w:t>如果出现任务延期，每项每次扣 10 分。</w:t>
            </w:r>
          </w:p>
        </w:tc>
        <w:tc>
          <w:tcPr>
            <w:tcW w:w="587" w:type="dxa"/>
            <w:shd w:val="clear"/>
            <w:vAlign w:val="center"/>
          </w:tcPr>
          <w:p w14:paraId="40AD0251">
            <w:pPr>
              <w:adjustRightInd w:val="0"/>
              <w:snapToGrid w:val="0"/>
              <w:ind w:firstLine="440" w:firstLineChars="200"/>
              <w:jc w:val="center"/>
              <w:rPr>
                <w:rFonts w:ascii="宋体" w:hAnsi="宋体" w:eastAsia="宋体" w:cs="宋体"/>
                <w:kern w:val="2"/>
                <w:sz w:val="22"/>
                <w:szCs w:val="22"/>
                <w:lang w:val="en-US" w:eastAsia="zh-CN" w:bidi="ar-SA"/>
              </w:rPr>
            </w:pPr>
            <w:r>
              <w:rPr>
                <w:rFonts w:hint="eastAsia" w:ascii="宋体" w:hAnsi="宋体" w:cs="宋体"/>
                <w:sz w:val="22"/>
              </w:rPr>
              <w:t>20</w:t>
            </w:r>
          </w:p>
        </w:tc>
        <w:tc>
          <w:tcPr>
            <w:tcW w:w="517" w:type="dxa"/>
            <w:shd w:val="clear"/>
            <w:vAlign w:val="center"/>
          </w:tcPr>
          <w:p w14:paraId="7F95A7E5">
            <w:pPr>
              <w:adjustRightInd w:val="0"/>
              <w:snapToGrid w:val="0"/>
              <w:ind w:firstLine="440" w:firstLineChars="200"/>
              <w:jc w:val="center"/>
              <w:rPr>
                <w:rFonts w:ascii="宋体" w:hAnsi="宋体" w:eastAsia="宋体" w:cs="宋体"/>
                <w:kern w:val="2"/>
                <w:sz w:val="22"/>
                <w:szCs w:val="22"/>
                <w:lang w:val="en-US" w:eastAsia="zh-CN" w:bidi="ar-SA"/>
              </w:rPr>
            </w:pPr>
          </w:p>
        </w:tc>
        <w:tc>
          <w:tcPr>
            <w:tcW w:w="517" w:type="dxa"/>
            <w:shd w:val="clear"/>
            <w:vAlign w:val="center"/>
          </w:tcPr>
          <w:p w14:paraId="57671ADC">
            <w:pPr>
              <w:adjustRightInd w:val="0"/>
              <w:snapToGrid w:val="0"/>
              <w:ind w:firstLine="440" w:firstLineChars="200"/>
              <w:jc w:val="center"/>
              <w:rPr>
                <w:rFonts w:ascii="宋体" w:hAnsi="宋体" w:eastAsia="宋体" w:cs="宋体"/>
                <w:kern w:val="2"/>
                <w:sz w:val="22"/>
                <w:szCs w:val="22"/>
                <w:lang w:val="en-US" w:eastAsia="zh-CN" w:bidi="ar-SA"/>
              </w:rPr>
            </w:pPr>
          </w:p>
        </w:tc>
      </w:tr>
      <w:tr w14:paraId="07A0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725429B">
            <w:pPr>
              <w:adjustRightInd w:val="0"/>
              <w:snapToGrid w:val="0"/>
              <w:ind w:firstLine="440"/>
              <w:jc w:val="center"/>
              <w:rPr>
                <w:rFonts w:ascii="宋体" w:hAnsi="宋体" w:cs="宋体"/>
                <w:sz w:val="22"/>
              </w:rPr>
            </w:pPr>
          </w:p>
        </w:tc>
        <w:tc>
          <w:tcPr>
            <w:tcW w:w="1279" w:type="dxa"/>
            <w:vAlign w:val="center"/>
          </w:tcPr>
          <w:p w14:paraId="2CC1DC8F">
            <w:pPr>
              <w:adjustRightInd w:val="0"/>
              <w:snapToGrid w:val="0"/>
              <w:ind w:firstLine="440"/>
              <w:jc w:val="center"/>
              <w:rPr>
                <w:rFonts w:ascii="宋体" w:hAnsi="宋体" w:cs="宋体"/>
                <w:sz w:val="22"/>
              </w:rPr>
            </w:pPr>
            <w:r>
              <w:rPr>
                <w:rFonts w:hint="eastAsia" w:ascii="宋体" w:hAnsi="宋体" w:cs="宋体"/>
                <w:sz w:val="22"/>
              </w:rPr>
              <w:t>总分</w:t>
            </w:r>
          </w:p>
        </w:tc>
        <w:tc>
          <w:tcPr>
            <w:tcW w:w="4929" w:type="dxa"/>
            <w:vAlign w:val="center"/>
          </w:tcPr>
          <w:p w14:paraId="3DA92092">
            <w:pPr>
              <w:adjustRightInd w:val="0"/>
              <w:snapToGrid w:val="0"/>
              <w:ind w:firstLine="440"/>
              <w:rPr>
                <w:rFonts w:ascii="宋体" w:hAnsi="宋体" w:cs="宋体"/>
                <w:sz w:val="22"/>
              </w:rPr>
            </w:pPr>
          </w:p>
        </w:tc>
        <w:tc>
          <w:tcPr>
            <w:tcW w:w="587" w:type="dxa"/>
            <w:vAlign w:val="center"/>
          </w:tcPr>
          <w:p w14:paraId="59779D5C">
            <w:pPr>
              <w:adjustRightInd w:val="0"/>
              <w:snapToGrid w:val="0"/>
              <w:ind w:firstLine="440"/>
              <w:jc w:val="center"/>
              <w:rPr>
                <w:rFonts w:ascii="宋体" w:hAnsi="宋体" w:cs="宋体"/>
                <w:sz w:val="22"/>
              </w:rPr>
            </w:pPr>
            <w:r>
              <w:rPr>
                <w:rFonts w:hint="eastAsia" w:ascii="宋体" w:hAnsi="宋体" w:cs="宋体"/>
                <w:sz w:val="22"/>
              </w:rPr>
              <w:t>100</w:t>
            </w:r>
          </w:p>
        </w:tc>
        <w:tc>
          <w:tcPr>
            <w:tcW w:w="517" w:type="dxa"/>
            <w:vAlign w:val="center"/>
          </w:tcPr>
          <w:p w14:paraId="104696B2">
            <w:pPr>
              <w:adjustRightInd w:val="0"/>
              <w:snapToGrid w:val="0"/>
              <w:ind w:firstLine="440"/>
              <w:jc w:val="center"/>
              <w:rPr>
                <w:rFonts w:ascii="宋体" w:hAnsi="宋体" w:cs="宋体"/>
                <w:sz w:val="22"/>
              </w:rPr>
            </w:pPr>
          </w:p>
        </w:tc>
        <w:tc>
          <w:tcPr>
            <w:tcW w:w="517" w:type="dxa"/>
            <w:vAlign w:val="center"/>
          </w:tcPr>
          <w:p w14:paraId="127B402C">
            <w:pPr>
              <w:adjustRightInd w:val="0"/>
              <w:snapToGrid w:val="0"/>
              <w:ind w:firstLine="440"/>
              <w:jc w:val="center"/>
              <w:rPr>
                <w:rFonts w:ascii="宋体" w:hAnsi="宋体" w:cs="宋体"/>
                <w:sz w:val="22"/>
              </w:rPr>
            </w:pPr>
          </w:p>
        </w:tc>
      </w:tr>
    </w:tbl>
    <w:p w14:paraId="0026BDDD">
      <w:pPr>
        <w:ind w:firstLine="560"/>
      </w:pPr>
    </w:p>
    <w:p w14:paraId="589666CC">
      <w:pPr>
        <w:ind w:firstLine="440"/>
        <w:rPr>
          <w:color w:val="FF0000"/>
          <w:sz w:val="22"/>
        </w:rPr>
      </w:pPr>
      <w:r>
        <w:rPr>
          <w:color w:val="FF0000"/>
          <w:sz w:val="22"/>
        </w:rPr>
        <w:br w:type="page"/>
      </w:r>
    </w:p>
    <w:p w14:paraId="5B7D7B2D">
      <w:pPr>
        <w:spacing w:after="120" w:line="312" w:lineRule="auto"/>
        <w:jc w:val="left"/>
        <w:rPr>
          <w:rFonts w:ascii="Calibri" w:hAnsi="Calibri" w:cs="Times New Roman"/>
          <w:smallCaps/>
          <w:color w:val="000000"/>
          <w:sz w:val="24"/>
          <w:szCs w:val="24"/>
        </w:rPr>
      </w:pPr>
    </w:p>
    <w:tbl>
      <w:tblPr>
        <w:tblStyle w:val="16"/>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8"/>
        <w:gridCol w:w="6127"/>
      </w:tblGrid>
      <w:tr w14:paraId="2CF2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9195" w:type="dxa"/>
            <w:gridSpan w:val="2"/>
            <w:tcBorders>
              <w:top w:val="single" w:color="auto" w:sz="4" w:space="0"/>
              <w:left w:val="single" w:color="auto" w:sz="4" w:space="0"/>
              <w:bottom w:val="single" w:color="auto" w:sz="4" w:space="0"/>
              <w:right w:val="single" w:color="auto" w:sz="4" w:space="0"/>
            </w:tcBorders>
            <w:vAlign w:val="center"/>
          </w:tcPr>
          <w:p w14:paraId="6A6EF331">
            <w:pPr>
              <w:spacing w:after="156" w:afterLines="50" w:line="240" w:lineRule="auto"/>
              <w:ind w:firstLine="482"/>
              <w:jc w:val="center"/>
              <w:rPr>
                <w:rFonts w:ascii="Calibri" w:hAnsi="Calibri" w:cs="Times New Roman"/>
                <w:color w:val="000000"/>
                <w:sz w:val="24"/>
                <w:szCs w:val="24"/>
              </w:rPr>
            </w:pPr>
            <w:r>
              <w:rPr>
                <w:rFonts w:hint="eastAsia" w:ascii="仿宋" w:hAnsi="仿宋" w:eastAsia="仿宋" w:cs="仿宋"/>
                <w:b/>
                <w:bCs/>
                <w:color w:val="000000"/>
                <w:sz w:val="24"/>
                <w:szCs w:val="24"/>
                <w:lang w:bidi="ar"/>
              </w:rPr>
              <w:t>厂商基本信息表</w:t>
            </w:r>
          </w:p>
        </w:tc>
      </w:tr>
      <w:tr w14:paraId="222F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6BE67EF2">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产品相关产业发展情况（请详述全国产业情况及本公司发展情况）</w:t>
            </w:r>
          </w:p>
        </w:tc>
        <w:tc>
          <w:tcPr>
            <w:tcW w:w="6127" w:type="dxa"/>
            <w:tcBorders>
              <w:top w:val="single" w:color="auto" w:sz="4" w:space="0"/>
              <w:left w:val="single" w:color="auto" w:sz="4" w:space="0"/>
              <w:bottom w:val="single" w:color="auto" w:sz="4" w:space="0"/>
              <w:right w:val="single" w:color="auto" w:sz="4" w:space="0"/>
            </w:tcBorders>
            <w:vAlign w:val="center"/>
          </w:tcPr>
          <w:p w14:paraId="620A569D">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文字描述</w:t>
            </w:r>
          </w:p>
          <w:p w14:paraId="36B639CE">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1.全国情况：</w:t>
            </w:r>
          </w:p>
          <w:p w14:paraId="343619FD">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2.本公司情况：</w:t>
            </w:r>
          </w:p>
        </w:tc>
      </w:tr>
      <w:tr w14:paraId="3CD3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38338F6">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产品市场供给情况（简述本公司年供给情况，且另附佐证材料）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03602151">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文字描述</w:t>
            </w:r>
          </w:p>
        </w:tc>
      </w:tr>
      <w:tr w14:paraId="6F64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936DB28">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同类产品成交情况（进三年的成交情况，且另附佐证材料）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0D9D2E84">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文字描述</w:t>
            </w:r>
          </w:p>
        </w:tc>
      </w:tr>
      <w:tr w14:paraId="243E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63079C3F">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公司企业类型（另附佐证材料）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3DA395DC">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大型企业（）中型企业（）小型企业（）微型企业（）监狱企业（）其他</w:t>
            </w:r>
            <w:r>
              <w:rPr>
                <w:rFonts w:ascii="Calibri" w:hAnsi="Calibri" w:cs="Times New Roman"/>
                <w:color w:val="000000"/>
                <w:sz w:val="24"/>
                <w:szCs w:val="24"/>
              </w:rPr>
              <w:t>注：“是”打√</w:t>
            </w:r>
          </w:p>
        </w:tc>
      </w:tr>
    </w:tbl>
    <w:p w14:paraId="0763D27F">
      <w:pPr>
        <w:ind w:firstLine="482"/>
        <w:jc w:val="right"/>
        <w:rPr>
          <w:rFonts w:ascii="仿宋_GB2312" w:hAnsi="仿宋_GB2312" w:eastAsia="仿宋_GB2312" w:cs="Times New Roman"/>
          <w:b/>
          <w:color w:val="000000"/>
          <w:sz w:val="24"/>
          <w:szCs w:val="24"/>
        </w:rPr>
      </w:pPr>
    </w:p>
    <w:p w14:paraId="00A664CB">
      <w:pPr>
        <w:ind w:firstLine="482"/>
        <w:jc w:val="right"/>
        <w:rPr>
          <w:rFonts w:ascii="仿宋_GB2312" w:hAnsi="仿宋_GB2312" w:eastAsia="仿宋_GB2312" w:cs="Times New Roman"/>
          <w:b/>
          <w:color w:val="000000"/>
          <w:sz w:val="24"/>
          <w:szCs w:val="24"/>
        </w:rPr>
      </w:pPr>
      <w:r>
        <w:rPr>
          <w:rFonts w:hint="eastAsia" w:ascii="仿宋_GB2312" w:hAnsi="仿宋_GB2312" w:eastAsia="仿宋_GB2312" w:cs="Times New Roman"/>
          <w:b/>
          <w:color w:val="000000"/>
          <w:sz w:val="24"/>
          <w:szCs w:val="24"/>
        </w:rPr>
        <w:t>厂家（商）：盖公章</w:t>
      </w:r>
    </w:p>
    <w:p w14:paraId="01819AEB">
      <w:pPr>
        <w:spacing w:after="156" w:afterLines="50" w:line="240" w:lineRule="auto"/>
        <w:ind w:firstLine="562"/>
        <w:jc w:val="right"/>
        <w:rPr>
          <w:rFonts w:ascii="Calibri" w:hAnsi="Calibri" w:cs="Times New Roman"/>
          <w:color w:val="000000"/>
          <w:sz w:val="24"/>
          <w:szCs w:val="24"/>
        </w:rPr>
      </w:pPr>
      <w:r>
        <w:rPr>
          <w:rFonts w:hint="eastAsia" w:ascii="仿宋_GB2312" w:hAnsi="仿宋_GB2312" w:eastAsia="仿宋_GB2312" w:cs="Times New Roman"/>
          <w:b/>
          <w:color w:val="000000"/>
          <w:szCs w:val="24"/>
        </w:rPr>
        <w:t>日期：   年   月   日</w:t>
      </w:r>
    </w:p>
    <w:p w14:paraId="383E7101">
      <w:pPr>
        <w:spacing w:line="240" w:lineRule="auto"/>
        <w:rPr>
          <w:rFonts w:ascii="Calibri" w:hAnsi="Calibri" w:cs="Times New Roman"/>
          <w:color w:val="000000"/>
          <w:sz w:val="24"/>
          <w:szCs w:val="24"/>
        </w:rPr>
      </w:pPr>
    </w:p>
    <w:p w14:paraId="2565AFB1">
      <w:pPr>
        <w:spacing w:after="156" w:afterLines="50" w:line="240" w:lineRule="auto"/>
        <w:rPr>
          <w:rFonts w:ascii="Calibri" w:hAnsi="Calibri" w:cs="Times New Roman"/>
          <w:color w:val="000000"/>
          <w:sz w:val="24"/>
          <w:szCs w:val="24"/>
        </w:rPr>
      </w:pPr>
      <w:r>
        <w:rPr>
          <w:rFonts w:ascii="Calibri" w:hAnsi="Calibri" w:cs="Times New Roman"/>
          <w:color w:val="000000"/>
          <w:sz w:val="24"/>
          <w:szCs w:val="24"/>
        </w:rPr>
        <w:br w:type="page"/>
      </w:r>
    </w:p>
    <w:p w14:paraId="0742BCD7">
      <w:pPr>
        <w:spacing w:line="240" w:lineRule="auto"/>
        <w:ind w:firstLine="720"/>
        <w:jc w:val="center"/>
        <w:rPr>
          <w:rFonts w:ascii="方正小标宋简体" w:hAnsi="方正小标宋简体" w:eastAsia="方正小标宋_GBK" w:cs="Times New Roman"/>
          <w:color w:val="000000"/>
          <w:sz w:val="36"/>
          <w:szCs w:val="36"/>
        </w:rPr>
      </w:pPr>
      <w:r>
        <w:rPr>
          <w:rFonts w:hint="eastAsia" w:ascii="方正小标宋_GBK" w:hAnsi="方正小标宋_GBK" w:eastAsia="方正小标宋_GBK" w:cs="方正小标宋_GBK"/>
          <w:color w:val="000000"/>
          <w:sz w:val="36"/>
          <w:szCs w:val="36"/>
        </w:rPr>
        <w:t>成都市第二人民医院智慧医院建设项目（包件1）运维服务采购项目报价表</w:t>
      </w:r>
    </w:p>
    <w:p w14:paraId="3F37BCA4">
      <w:pPr>
        <w:spacing w:line="240" w:lineRule="auto"/>
        <w:rPr>
          <w:rFonts w:ascii="Calibri" w:hAnsi="Calibri" w:cs="Times New Roman"/>
          <w:color w:val="000000"/>
          <w:sz w:val="24"/>
          <w:szCs w:val="24"/>
        </w:rPr>
      </w:pPr>
    </w:p>
    <w:tbl>
      <w:tblPr>
        <w:tblStyle w:val="16"/>
        <w:tblW w:w="5000" w:type="pct"/>
        <w:jc w:val="center"/>
        <w:tblLayout w:type="fixed"/>
        <w:tblCellMar>
          <w:top w:w="0" w:type="dxa"/>
          <w:left w:w="0" w:type="dxa"/>
          <w:bottom w:w="0" w:type="dxa"/>
          <w:right w:w="0" w:type="dxa"/>
        </w:tblCellMar>
      </w:tblPr>
      <w:tblGrid>
        <w:gridCol w:w="1775"/>
        <w:gridCol w:w="1470"/>
        <w:gridCol w:w="2242"/>
        <w:gridCol w:w="1104"/>
        <w:gridCol w:w="710"/>
        <w:gridCol w:w="1035"/>
      </w:tblGrid>
      <w:tr w14:paraId="365ED67C">
        <w:tblPrEx>
          <w:tblCellMar>
            <w:top w:w="0" w:type="dxa"/>
            <w:left w:w="0" w:type="dxa"/>
            <w:bottom w:w="0" w:type="dxa"/>
            <w:right w:w="0" w:type="dxa"/>
          </w:tblCellMar>
        </w:tblPrEx>
        <w:trPr>
          <w:trHeight w:val="710" w:hRule="atLeast"/>
          <w:jc w:val="center"/>
        </w:trPr>
        <w:tc>
          <w:tcPr>
            <w:tcW w:w="1063"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FD5A800">
            <w:pPr>
              <w:spacing w:line="240" w:lineRule="auto"/>
              <w:rPr>
                <w:rFonts w:ascii="Calibri" w:hAnsi="Calibri" w:cs="Times New Roman"/>
                <w:color w:val="000000"/>
                <w:sz w:val="24"/>
                <w:szCs w:val="24"/>
              </w:rPr>
            </w:pPr>
            <w:r>
              <w:rPr>
                <w:rFonts w:hint="eastAsia" w:ascii="Calibri" w:hAnsi="Calibri" w:cs="Times New Roman"/>
                <w:color w:val="000000"/>
                <w:sz w:val="24"/>
                <w:szCs w:val="24"/>
              </w:rPr>
              <w:t>项目</w:t>
            </w:r>
          </w:p>
        </w:tc>
        <w:tc>
          <w:tcPr>
            <w:tcW w:w="881" w:type="pct"/>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A049193">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内容</w:t>
            </w:r>
          </w:p>
        </w:tc>
        <w:tc>
          <w:tcPr>
            <w:tcW w:w="1344"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E84D6EF">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用途</w:t>
            </w:r>
          </w:p>
        </w:tc>
        <w:tc>
          <w:tcPr>
            <w:tcW w:w="662"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09DE835">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服务期</w:t>
            </w:r>
          </w:p>
        </w:tc>
        <w:tc>
          <w:tcPr>
            <w:tcW w:w="426" w:type="pct"/>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2D0F26">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报价</w:t>
            </w:r>
          </w:p>
        </w:tc>
        <w:tc>
          <w:tcPr>
            <w:tcW w:w="621" w:type="pct"/>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3C5638">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备注</w:t>
            </w:r>
          </w:p>
        </w:tc>
      </w:tr>
      <w:tr w14:paraId="0ECCEB71">
        <w:tblPrEx>
          <w:tblCellMar>
            <w:top w:w="0" w:type="dxa"/>
            <w:left w:w="0" w:type="dxa"/>
            <w:bottom w:w="0" w:type="dxa"/>
            <w:right w:w="0" w:type="dxa"/>
          </w:tblCellMar>
        </w:tblPrEx>
        <w:trPr>
          <w:trHeight w:val="2110" w:hRule="atLeast"/>
          <w:jc w:val="center"/>
        </w:trPr>
        <w:tc>
          <w:tcPr>
            <w:tcW w:w="1063"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86CA18D">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智慧医院建设项目（包件1）运维服务</w:t>
            </w:r>
          </w:p>
        </w:tc>
        <w:tc>
          <w:tcPr>
            <w:tcW w:w="881"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C24EB7E">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详见服务要求。</w:t>
            </w:r>
          </w:p>
        </w:tc>
        <w:tc>
          <w:tcPr>
            <w:tcW w:w="134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604F627">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保障医院智慧医院建设项目（包件1）</w:t>
            </w:r>
            <w:r>
              <w:rPr>
                <w:rFonts w:hint="eastAsia" w:ascii="Calibri" w:hAnsi="Calibri" w:cs="Times New Roman"/>
                <w:color w:val="000000"/>
                <w:sz w:val="24"/>
                <w:szCs w:val="24"/>
                <w:lang w:val="en-US" w:eastAsia="zh-CN"/>
              </w:rPr>
              <w:t>相关</w:t>
            </w:r>
            <w:r>
              <w:rPr>
                <w:rFonts w:hint="eastAsia" w:ascii="Calibri" w:hAnsi="Calibri" w:cs="Times New Roman"/>
                <w:color w:val="000000"/>
                <w:sz w:val="24"/>
                <w:szCs w:val="24"/>
              </w:rPr>
              <w:t>软硬件日常运行稳定，对相关系统及业务模块开展运维服务。</w:t>
            </w:r>
          </w:p>
        </w:tc>
        <w:tc>
          <w:tcPr>
            <w:tcW w:w="66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33DC32">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lang w:val="en-US" w:eastAsia="zh-CN"/>
              </w:rPr>
              <w:t>3</w:t>
            </w:r>
            <w:r>
              <w:rPr>
                <w:rFonts w:hint="eastAsia" w:ascii="Calibri" w:hAnsi="Calibri" w:cs="Times New Roman"/>
                <w:color w:val="000000"/>
                <w:sz w:val="24"/>
                <w:szCs w:val="24"/>
              </w:rPr>
              <w:t>年</w:t>
            </w:r>
          </w:p>
        </w:tc>
        <w:tc>
          <w:tcPr>
            <w:tcW w:w="426"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37AD2AF">
            <w:pPr>
              <w:spacing w:line="240" w:lineRule="auto"/>
              <w:rPr>
                <w:rFonts w:ascii="Calibri" w:hAnsi="Calibri" w:cs="Times New Roman"/>
                <w:color w:val="000000"/>
                <w:sz w:val="24"/>
                <w:szCs w:val="24"/>
              </w:rPr>
            </w:pPr>
          </w:p>
        </w:tc>
        <w:tc>
          <w:tcPr>
            <w:tcW w:w="621"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B6AB00">
            <w:pPr>
              <w:spacing w:line="240" w:lineRule="auto"/>
              <w:ind w:firstLine="0" w:firstLineChars="0"/>
              <w:rPr>
                <w:rFonts w:ascii="Calibri" w:hAnsi="Calibri" w:cs="Times New Roman"/>
                <w:color w:val="000000"/>
                <w:sz w:val="24"/>
                <w:szCs w:val="24"/>
              </w:rPr>
            </w:pPr>
            <w:r>
              <w:rPr>
                <w:rFonts w:hint="eastAsia" w:ascii="Calibri" w:hAnsi="Calibri" w:cs="Times New Roman"/>
                <w:color w:val="000000"/>
                <w:sz w:val="24"/>
                <w:szCs w:val="24"/>
              </w:rPr>
              <w:t>请按照年度报价。</w:t>
            </w:r>
          </w:p>
        </w:tc>
      </w:tr>
    </w:tbl>
    <w:p w14:paraId="7C26D8C7">
      <w:pPr>
        <w:spacing w:line="240" w:lineRule="auto"/>
        <w:ind w:left="826" w:leftChars="295"/>
        <w:rPr>
          <w:rFonts w:ascii="Calibri" w:hAnsi="Calibri" w:cs="Times New Roman"/>
          <w:color w:val="000000"/>
          <w:sz w:val="24"/>
          <w:szCs w:val="24"/>
        </w:rPr>
      </w:pPr>
    </w:p>
    <w:p w14:paraId="43CF4223">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报价公司：</w:t>
      </w:r>
    </w:p>
    <w:p w14:paraId="61817F6D">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联系方式：</w:t>
      </w:r>
    </w:p>
    <w:p w14:paraId="32213D90">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是否对需求内容完全响应：</w:t>
      </w:r>
    </w:p>
    <w:p w14:paraId="4CD7337A">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日期：</w:t>
      </w:r>
    </w:p>
    <w:p w14:paraId="78809014">
      <w:pPr>
        <w:spacing w:after="120"/>
        <w:ind w:firstLine="720" w:firstLineChars="300"/>
        <w:jc w:val="left"/>
        <w:rPr>
          <w:rFonts w:ascii="Calibri" w:hAnsi="Calibri" w:cs="Times New Roman"/>
          <w:smallCaps/>
          <w:color w:val="000000"/>
          <w:sz w:val="24"/>
          <w:szCs w:val="24"/>
        </w:rPr>
      </w:pPr>
    </w:p>
    <w:p w14:paraId="63BAAE8C">
      <w:pPr>
        <w:spacing w:after="120"/>
        <w:ind w:firstLine="720" w:firstLineChars="300"/>
        <w:jc w:val="left"/>
        <w:rPr>
          <w:rFonts w:ascii="Calibri" w:hAnsi="Calibri" w:cs="Times New Roman"/>
          <w:smallCaps/>
          <w:color w:val="000000"/>
          <w:sz w:val="24"/>
          <w:szCs w:val="24"/>
        </w:rPr>
      </w:pPr>
    </w:p>
    <w:p w14:paraId="6FB87155">
      <w:pPr>
        <w:spacing w:line="240" w:lineRule="auto"/>
        <w:rPr>
          <w:rFonts w:ascii="Calibri" w:hAnsi="Calibri" w:cs="Times New Roman"/>
          <w:color w:val="000000"/>
          <w:sz w:val="24"/>
          <w:szCs w:val="24"/>
        </w:rPr>
      </w:pPr>
    </w:p>
    <w:p w14:paraId="04C109C6">
      <w:pPr>
        <w:spacing w:line="240" w:lineRule="auto"/>
        <w:rPr>
          <w:rFonts w:ascii="Calibri" w:hAnsi="Calibri" w:cs="Times New Roman"/>
          <w:color w:val="000000"/>
          <w:sz w:val="24"/>
          <w:szCs w:val="24"/>
        </w:rPr>
      </w:pPr>
      <w:r>
        <w:rPr>
          <w:rFonts w:ascii="Calibri" w:hAnsi="Calibri" w:cs="Times New Roman"/>
          <w:color w:val="000000"/>
          <w:sz w:val="24"/>
          <w:szCs w:val="24"/>
        </w:rPr>
        <w:br w:type="page"/>
      </w:r>
    </w:p>
    <w:p w14:paraId="4C6F4CCA">
      <w:pPr>
        <w:spacing w:line="240" w:lineRule="auto"/>
        <w:ind w:firstLine="720"/>
        <w:jc w:val="center"/>
        <w:rPr>
          <w:rFonts w:ascii="方正小标宋简体" w:hAnsi="方正小标宋简体" w:eastAsia="方正小标宋_GBK" w:cs="Times New Roman"/>
          <w:color w:val="000000"/>
          <w:sz w:val="36"/>
          <w:szCs w:val="36"/>
        </w:rPr>
      </w:pPr>
      <w:r>
        <w:rPr>
          <w:rFonts w:hint="eastAsia" w:ascii="方正小标宋_GBK" w:hAnsi="方正小标宋_GBK" w:eastAsia="方正小标宋_GBK" w:cs="方正小标宋_GBK"/>
          <w:color w:val="000000"/>
          <w:sz w:val="36"/>
          <w:szCs w:val="36"/>
        </w:rPr>
        <w:t>成都市第二人民医院智慧医院建设</w:t>
      </w:r>
      <w:bookmarkStart w:id="11" w:name="_GoBack"/>
      <w:bookmarkEnd w:id="11"/>
      <w:r>
        <w:rPr>
          <w:rFonts w:hint="eastAsia" w:ascii="方正小标宋_GBK" w:hAnsi="方正小标宋_GBK" w:eastAsia="方正小标宋_GBK" w:cs="方正小标宋_GBK"/>
          <w:color w:val="000000"/>
          <w:sz w:val="36"/>
          <w:szCs w:val="36"/>
        </w:rPr>
        <w:t>项目（包件1）运维服务采购项目建设方案</w:t>
      </w:r>
    </w:p>
    <w:p w14:paraId="0CF88DDC">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（模板）</w:t>
      </w:r>
    </w:p>
    <w:p w14:paraId="0B205FFC">
      <w:pPr>
        <w:spacing w:line="240" w:lineRule="auto"/>
        <w:rPr>
          <w:rFonts w:ascii="Calibri" w:hAnsi="Calibri" w:cs="Times New Roman"/>
          <w:color w:val="000000"/>
          <w:sz w:val="24"/>
          <w:szCs w:val="24"/>
        </w:rPr>
      </w:pPr>
    </w:p>
    <w:p w14:paraId="793C58E3">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需求xxx</w:t>
      </w:r>
    </w:p>
    <w:p w14:paraId="376D4A7B">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1．需求xxx</w:t>
      </w:r>
    </w:p>
    <w:p w14:paraId="40D1E7BF">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回复：（是/否完全响应）</w:t>
      </w:r>
    </w:p>
    <w:p w14:paraId="0A8A7F3C">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具体方案：</w:t>
      </w:r>
    </w:p>
    <w:p w14:paraId="60C81EF3">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2.需求xxx</w:t>
      </w:r>
    </w:p>
    <w:p w14:paraId="6865B4EA">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回复：（是/否完全响应）</w:t>
      </w:r>
    </w:p>
    <w:p w14:paraId="2EA36168">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具体方案：</w:t>
      </w:r>
    </w:p>
    <w:p w14:paraId="74DDE97D">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3.需求xxx</w:t>
      </w:r>
    </w:p>
    <w:p w14:paraId="0B1067BC">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回复：（是/否完全响应）</w:t>
      </w:r>
    </w:p>
    <w:p w14:paraId="3D2F4EF1">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具体方案：</w:t>
      </w:r>
    </w:p>
    <w:p w14:paraId="2A489BC7">
      <w:pPr>
        <w:ind w:firstLine="560"/>
        <w:jc w:val="left"/>
        <w:rPr>
          <w:rFonts w:eastAsia="Times New Roman" w:cs="Times New Roman"/>
          <w:sz w:val="24"/>
          <w:szCs w:val="24"/>
          <w:lang w:bidi="en-US"/>
        </w:rPr>
      </w:pPr>
      <w:r>
        <w:rPr>
          <w:rFonts w:ascii="仿宋" w:hAnsi="仿宋" w:eastAsia="仿宋" w:cs="Times New Roman"/>
          <w:color w:val="000000"/>
          <w:kern w:val="0"/>
          <w:szCs w:val="28"/>
        </w:rPr>
        <w:t>二、其它</w:t>
      </w:r>
    </w:p>
    <w:p w14:paraId="6D62E8EA">
      <w:pPr>
        <w:rPr>
          <w:rFonts w:ascii="方正仿宋_GBK" w:hAnsi="方正仿宋_GBK" w:eastAsia="方正仿宋_GBK" w:cs="方正仿宋_GBK"/>
          <w:sz w:val="24"/>
          <w:szCs w:val="24"/>
          <w:lang w:bidi="ar"/>
        </w:rPr>
      </w:pPr>
    </w:p>
    <w:p w14:paraId="3063D372">
      <w:pPr>
        <w:ind w:firstLine="440"/>
        <w:rPr>
          <w:color w:val="FF0000"/>
          <w:sz w:val="22"/>
        </w:rPr>
      </w:pPr>
    </w:p>
    <w:p w14:paraId="2592F17B">
      <w:pPr>
        <w:ind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EE69A6E-925F-401F-95CA-7F62F3E2FFA8}"/>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A65A5B28-9DBE-4C0D-AEA4-EFD9E4D5EE68}"/>
  </w:font>
  <w:font w:name="仿宋_GB2312">
    <w:altName w:val="仿宋"/>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9B65646B-F309-456A-89B8-CBA72A30A2A0}"/>
  </w:font>
  <w:font w:name="方正小标宋_GBK">
    <w:panose1 w:val="03000509000000000000"/>
    <w:charset w:val="86"/>
    <w:family w:val="script"/>
    <w:pitch w:val="default"/>
    <w:sig w:usb0="00000001" w:usb1="080E0000" w:usb2="00000000" w:usb3="00000000" w:csb0="00040000" w:csb1="00000000"/>
    <w:embedRegular r:id="rId4" w:fontKey="{D52F69FB-1BB4-4E37-BC60-35F5A4D1A58A}"/>
  </w:font>
  <w:font w:name="方正仿宋_GBK">
    <w:panose1 w:val="03000509000000000000"/>
    <w:charset w:val="86"/>
    <w:family w:val="script"/>
    <w:pitch w:val="default"/>
    <w:sig w:usb0="00000001" w:usb1="080E0000" w:usb2="00000000" w:usb3="00000000" w:csb0="00040000" w:csb1="00000000"/>
    <w:embedRegular r:id="rId5" w:fontKey="{1CC9F67E-78B3-4D46-91D9-3A2EE00DD13B}"/>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963DC9"/>
    <w:multiLevelType w:val="multilevel"/>
    <w:tmpl w:val="C6963DC9"/>
    <w:lvl w:ilvl="0" w:tentative="0">
      <w:start w:val="1"/>
      <w:numFmt w:val="none"/>
      <w:pStyle w:val="2"/>
      <w:suff w:val="space"/>
      <w:lvlText w:val="一、"/>
      <w:lvlJc w:val="left"/>
      <w:pPr>
        <w:tabs>
          <w:tab w:val="left" w:pos="0"/>
        </w:tabs>
        <w:ind w:left="2835" w:hanging="2835"/>
      </w:pPr>
      <w:rPr>
        <w:rFonts w:hint="default"/>
        <w:sz w:val="30"/>
      </w:rPr>
    </w:lvl>
    <w:lvl w:ilvl="1" w:tentative="0">
      <w:start w:val="1"/>
      <w:numFmt w:val="decimal"/>
      <w:pStyle w:val="4"/>
      <w:isLgl/>
      <w:suff w:val="space"/>
      <w:lvlText w:val="%1.%2"/>
      <w:lvlJc w:val="left"/>
      <w:pPr>
        <w:tabs>
          <w:tab w:val="left" w:pos="0"/>
        </w:tabs>
        <w:ind w:left="992" w:hanging="567"/>
      </w:pPr>
      <w:rPr>
        <w:rFonts w:hint="default"/>
        <w:sz w:val="30"/>
      </w:rPr>
    </w:lvl>
    <w:lvl w:ilvl="2" w:tentative="0">
      <w:start w:val="1"/>
      <w:numFmt w:val="decimal"/>
      <w:pStyle w:val="5"/>
      <w:isLgl/>
      <w:suff w:val="space"/>
      <w:lvlText w:val="%1.%2.%3"/>
      <w:lvlJc w:val="left"/>
      <w:pPr>
        <w:ind w:left="992" w:hanging="567"/>
      </w:pPr>
      <w:rPr>
        <w:rFonts w:hint="default"/>
        <w:sz w:val="30"/>
      </w:rPr>
    </w:lvl>
    <w:lvl w:ilvl="3" w:tentative="0">
      <w:start w:val="1"/>
      <w:numFmt w:val="decimal"/>
      <w:pStyle w:val="6"/>
      <w:isLgl/>
      <w:suff w:val="space"/>
      <w:lvlText w:val="%1.%2.%3.%4"/>
      <w:lvlJc w:val="left"/>
      <w:pPr>
        <w:ind w:left="1842" w:hanging="708"/>
      </w:pPr>
      <w:rPr>
        <w:rFonts w:hint="eastAsia" w:ascii="Times New Roman" w:hAnsi="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4" w:tentative="0">
      <w:start w:val="1"/>
      <w:numFmt w:val="decimal"/>
      <w:pStyle w:val="7"/>
      <w:isLgl/>
      <w:suff w:val="space"/>
      <w:lvlText w:val="%1.%2.%3.%4.%5"/>
      <w:lvlJc w:val="left"/>
      <w:pPr>
        <w:ind w:left="2551" w:hanging="850"/>
      </w:pPr>
      <w:rPr>
        <w:rFonts w:hint="eastAsia"/>
      </w:rPr>
    </w:lvl>
    <w:lvl w:ilvl="5" w:tentative="0">
      <w:start w:val="1"/>
      <w:numFmt w:val="decimal"/>
      <w:pStyle w:val="8"/>
      <w:isLgl/>
      <w:suff w:val="space"/>
      <w:lvlText w:val="%1.%2.%3.%4.%5.%6"/>
      <w:lvlJc w:val="left"/>
      <w:pPr>
        <w:ind w:left="3260" w:hanging="1134"/>
      </w:pPr>
      <w:rPr>
        <w:rFonts w:hint="eastAsia"/>
      </w:rPr>
    </w:lvl>
    <w:lvl w:ilvl="6" w:tentative="0">
      <w:start w:val="1"/>
      <w:numFmt w:val="decimal"/>
      <w:pStyle w:val="9"/>
      <w:isLgl/>
      <w:suff w:val="space"/>
      <w:lvlText w:val="%1.%2.%3.%4.%5.%6.%7"/>
      <w:lvlJc w:val="left"/>
      <w:pPr>
        <w:ind w:left="3827" w:hanging="1276"/>
      </w:pPr>
      <w:rPr>
        <w:rFonts w:hint="eastAsia"/>
      </w:rPr>
    </w:lvl>
    <w:lvl w:ilvl="7" w:tentative="0">
      <w:start w:val="1"/>
      <w:numFmt w:val="decimal"/>
      <w:pStyle w:val="10"/>
      <w:isLgl/>
      <w:suff w:val="space"/>
      <w:lvlText w:val="%1.%2.%3.%4.%5.%6.%7.%8"/>
      <w:lvlJc w:val="left"/>
      <w:pPr>
        <w:ind w:left="4394" w:hanging="1418"/>
      </w:pPr>
      <w:rPr>
        <w:rFonts w:hint="eastAsia"/>
      </w:rPr>
    </w:lvl>
    <w:lvl w:ilvl="8" w:tentative="0">
      <w:start w:val="1"/>
      <w:numFmt w:val="decimal"/>
      <w:pStyle w:val="11"/>
      <w:isLgl/>
      <w:suff w:val="space"/>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981366"/>
    <w:rsid w:val="00345282"/>
    <w:rsid w:val="00594E9B"/>
    <w:rsid w:val="006B6AA7"/>
    <w:rsid w:val="00AF5806"/>
    <w:rsid w:val="01F40F97"/>
    <w:rsid w:val="02F4124E"/>
    <w:rsid w:val="03C61554"/>
    <w:rsid w:val="06127C3D"/>
    <w:rsid w:val="0AA166D5"/>
    <w:rsid w:val="0AB614DF"/>
    <w:rsid w:val="0C776A4C"/>
    <w:rsid w:val="100833DB"/>
    <w:rsid w:val="1A1104E0"/>
    <w:rsid w:val="1CE96B5E"/>
    <w:rsid w:val="1F52137F"/>
    <w:rsid w:val="20CC33B3"/>
    <w:rsid w:val="21E604A4"/>
    <w:rsid w:val="241906BD"/>
    <w:rsid w:val="27196C26"/>
    <w:rsid w:val="284877C3"/>
    <w:rsid w:val="293B7327"/>
    <w:rsid w:val="2D9C5EBB"/>
    <w:rsid w:val="2FA07EE4"/>
    <w:rsid w:val="31307046"/>
    <w:rsid w:val="32805DAB"/>
    <w:rsid w:val="365B2DB7"/>
    <w:rsid w:val="36DA1E01"/>
    <w:rsid w:val="37C15D33"/>
    <w:rsid w:val="38137198"/>
    <w:rsid w:val="38FC4C41"/>
    <w:rsid w:val="39137979"/>
    <w:rsid w:val="3A1154DC"/>
    <w:rsid w:val="3F786788"/>
    <w:rsid w:val="3FCE63A8"/>
    <w:rsid w:val="42B5384F"/>
    <w:rsid w:val="475C698F"/>
    <w:rsid w:val="48BA71E8"/>
    <w:rsid w:val="4B645E12"/>
    <w:rsid w:val="513444D8"/>
    <w:rsid w:val="54F81E45"/>
    <w:rsid w:val="5B294982"/>
    <w:rsid w:val="5CEB6393"/>
    <w:rsid w:val="5FEF4C85"/>
    <w:rsid w:val="61F23D20"/>
    <w:rsid w:val="63B05C41"/>
    <w:rsid w:val="65E762A0"/>
    <w:rsid w:val="679E304D"/>
    <w:rsid w:val="6EA168B2"/>
    <w:rsid w:val="715F2A54"/>
    <w:rsid w:val="71E645AC"/>
    <w:rsid w:val="73E37D76"/>
    <w:rsid w:val="76981366"/>
    <w:rsid w:val="7D4E22FA"/>
    <w:rsid w:val="7DA97531"/>
    <w:rsid w:val="7DCF2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480" w:firstLineChars="200"/>
      <w:jc w:val="both"/>
    </w:pPr>
    <w:rPr>
      <w:rFonts w:ascii="Times New Roman" w:hAnsi="Times New Roman" w:eastAsia="宋体" w:cstheme="minorBidi"/>
      <w:kern w:val="2"/>
      <w:sz w:val="28"/>
      <w:szCs w:val="22"/>
      <w:lang w:val="en-US" w:eastAsia="zh-CN" w:bidi="ar-SA"/>
    </w:rPr>
  </w:style>
  <w:style w:type="paragraph" w:styleId="2">
    <w:name w:val="heading 1"/>
    <w:basedOn w:val="3"/>
    <w:next w:val="1"/>
    <w:link w:val="20"/>
    <w:qFormat/>
    <w:uiPriority w:val="0"/>
    <w:pPr>
      <w:keepNext/>
      <w:keepLines/>
      <w:numPr>
        <w:ilvl w:val="0"/>
        <w:numId w:val="1"/>
      </w:numPr>
      <w:spacing w:before="340" w:after="330" w:line="480" w:lineRule="auto"/>
    </w:pPr>
    <w:rPr>
      <w:rFonts w:eastAsia="黑体" w:asciiTheme="majorHAnsi" w:hAnsiTheme="majorHAnsi" w:cstheme="majorBidi"/>
      <w:bCs/>
      <w:kern w:val="44"/>
      <w:sz w:val="36"/>
      <w:szCs w:val="44"/>
    </w:rPr>
  </w:style>
  <w:style w:type="paragraph" w:styleId="4">
    <w:name w:val="heading 2"/>
    <w:basedOn w:val="1"/>
    <w:next w:val="1"/>
    <w:link w:val="23"/>
    <w:unhideWhenUsed/>
    <w:qFormat/>
    <w:uiPriority w:val="0"/>
    <w:pPr>
      <w:keepNext/>
      <w:keepLines/>
      <w:numPr>
        <w:ilvl w:val="1"/>
        <w:numId w:val="1"/>
      </w:numPr>
      <w:spacing w:before="260" w:after="260" w:line="413" w:lineRule="auto"/>
      <w:ind w:firstLineChars="0"/>
      <w:outlineLvl w:val="1"/>
    </w:pPr>
    <w:rPr>
      <w:rFonts w:ascii="Arial" w:hAnsi="Arial" w:eastAsia="黑体"/>
      <w:b/>
      <w:sz w:val="32"/>
    </w:rPr>
  </w:style>
  <w:style w:type="paragraph" w:styleId="5">
    <w:name w:val="heading 3"/>
    <w:basedOn w:val="1"/>
    <w:next w:val="1"/>
    <w:unhideWhenUsed/>
    <w:qFormat/>
    <w:uiPriority w:val="0"/>
    <w:pPr>
      <w:keepNext/>
      <w:keepLines/>
      <w:numPr>
        <w:ilvl w:val="2"/>
        <w:numId w:val="1"/>
      </w:numPr>
      <w:spacing w:before="260" w:after="260" w:line="413" w:lineRule="auto"/>
      <w:ind w:firstLineChars="0"/>
      <w:outlineLvl w:val="2"/>
    </w:pPr>
    <w:rPr>
      <w:b/>
      <w:sz w:val="32"/>
    </w:rPr>
  </w:style>
  <w:style w:type="paragraph" w:styleId="6">
    <w:name w:val="heading 4"/>
    <w:basedOn w:val="1"/>
    <w:next w:val="1"/>
    <w:semiHidden/>
    <w:unhideWhenUsed/>
    <w:qFormat/>
    <w:uiPriority w:val="0"/>
    <w:pPr>
      <w:keepNext/>
      <w:keepLines/>
      <w:numPr>
        <w:ilvl w:val="3"/>
        <w:numId w:val="1"/>
      </w:numPr>
      <w:spacing w:before="280" w:after="290" w:line="372" w:lineRule="auto"/>
      <w:ind w:firstLineChars="0"/>
      <w:outlineLvl w:val="3"/>
    </w:pPr>
    <w:rPr>
      <w:rFonts w:ascii="Arial" w:hAnsi="Arial" w:eastAsia="黑体"/>
      <w:b/>
    </w:rPr>
  </w:style>
  <w:style w:type="paragraph" w:styleId="7">
    <w:name w:val="heading 5"/>
    <w:basedOn w:val="1"/>
    <w:next w:val="1"/>
    <w:semiHidden/>
    <w:unhideWhenUsed/>
    <w:qFormat/>
    <w:uiPriority w:val="0"/>
    <w:pPr>
      <w:keepNext/>
      <w:keepLines/>
      <w:numPr>
        <w:ilvl w:val="4"/>
        <w:numId w:val="1"/>
      </w:numPr>
      <w:spacing w:before="280" w:after="290" w:line="372" w:lineRule="auto"/>
      <w:ind w:firstLineChars="0"/>
      <w:outlineLvl w:val="4"/>
    </w:pPr>
    <w:rPr>
      <w:b/>
    </w:rPr>
  </w:style>
  <w:style w:type="paragraph" w:styleId="8">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after="64" w:line="317" w:lineRule="auto"/>
      <w:ind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sz w:val="21"/>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b/>
      <w:sz w:val="32"/>
    </w:rPr>
  </w:style>
  <w:style w:type="paragraph" w:styleId="12">
    <w:name w:val="annotation text"/>
    <w:basedOn w:val="1"/>
    <w:link w:val="24"/>
    <w:qFormat/>
    <w:uiPriority w:val="99"/>
    <w:pPr>
      <w:jc w:val="left"/>
    </w:pPr>
  </w:style>
  <w:style w:type="paragraph" w:styleId="13">
    <w:name w:val="Body Text"/>
    <w:basedOn w:val="1"/>
    <w:semiHidden/>
    <w:qFormat/>
    <w:uiPriority w:val="0"/>
    <w:rPr>
      <w:rFonts w:ascii="宋体" w:hAnsi="宋体" w:cs="宋体"/>
      <w:sz w:val="24"/>
      <w:szCs w:val="24"/>
      <w:lang w:eastAsia="en-US"/>
    </w:rPr>
  </w:style>
  <w:style w:type="paragraph" w:styleId="14">
    <w:name w:val="Balloon Text"/>
    <w:basedOn w:val="1"/>
    <w:link w:val="25"/>
    <w:qFormat/>
    <w:uiPriority w:val="0"/>
    <w:pPr>
      <w:spacing w:line="240" w:lineRule="auto"/>
    </w:pPr>
    <w:rPr>
      <w:sz w:val="18"/>
      <w:szCs w:val="18"/>
    </w:rPr>
  </w:style>
  <w:style w:type="paragraph" w:styleId="15">
    <w:name w:val="toc 1"/>
    <w:basedOn w:val="1"/>
    <w:next w:val="1"/>
    <w:qFormat/>
    <w:uiPriority w:val="0"/>
  </w:style>
  <w:style w:type="character" w:styleId="18">
    <w:name w:val="Strong"/>
    <w:basedOn w:val="17"/>
    <w:qFormat/>
    <w:uiPriority w:val="0"/>
    <w:rPr>
      <w:b/>
    </w:rPr>
  </w:style>
  <w:style w:type="character" w:styleId="19">
    <w:name w:val="annotation reference"/>
    <w:basedOn w:val="17"/>
    <w:unhideWhenUsed/>
    <w:uiPriority w:val="99"/>
    <w:rPr>
      <w:sz w:val="21"/>
      <w:szCs w:val="21"/>
    </w:rPr>
  </w:style>
  <w:style w:type="character" w:customStyle="1" w:styleId="20">
    <w:name w:val="标题 1 字符"/>
    <w:basedOn w:val="17"/>
    <w:link w:val="2"/>
    <w:qFormat/>
    <w:uiPriority w:val="0"/>
    <w:rPr>
      <w:rFonts w:eastAsia="黑体" w:asciiTheme="majorHAnsi" w:hAnsiTheme="majorHAnsi" w:cstheme="majorBidi"/>
      <w:bCs/>
      <w:kern w:val="44"/>
      <w:sz w:val="36"/>
      <w:szCs w:val="44"/>
    </w:rPr>
  </w:style>
  <w:style w:type="character" w:customStyle="1" w:styleId="21">
    <w:name w:val="font31"/>
    <w:basedOn w:val="17"/>
    <w:qFormat/>
    <w:uiPriority w:val="0"/>
    <w:rPr>
      <w:rFonts w:hint="eastAsia" w:ascii="宋体" w:hAnsi="宋体" w:eastAsia="宋体" w:cs="宋体"/>
      <w:color w:val="000000"/>
      <w:sz w:val="18"/>
      <w:szCs w:val="18"/>
      <w:u w:val="none"/>
    </w:rPr>
  </w:style>
  <w:style w:type="character" w:customStyle="1" w:styleId="22">
    <w:name w:val="font41"/>
    <w:basedOn w:val="17"/>
    <w:qFormat/>
    <w:uiPriority w:val="0"/>
    <w:rPr>
      <w:rFonts w:hint="eastAsia" w:ascii="宋体" w:hAnsi="宋体" w:eastAsia="宋体" w:cs="宋体"/>
      <w:color w:val="000000"/>
      <w:sz w:val="18"/>
      <w:szCs w:val="18"/>
      <w:u w:val="none"/>
    </w:rPr>
  </w:style>
  <w:style w:type="character" w:customStyle="1" w:styleId="23">
    <w:name w:val="标题 2 字符"/>
    <w:link w:val="4"/>
    <w:qFormat/>
    <w:uiPriority w:val="0"/>
    <w:rPr>
      <w:rFonts w:ascii="Arial" w:hAnsi="Arial" w:eastAsia="黑体"/>
      <w:b/>
      <w:sz w:val="32"/>
    </w:rPr>
  </w:style>
  <w:style w:type="character" w:customStyle="1" w:styleId="24">
    <w:name w:val="批注文字 字符1"/>
    <w:basedOn w:val="17"/>
    <w:link w:val="12"/>
    <w:qFormat/>
    <w:locked/>
    <w:uiPriority w:val="99"/>
    <w:rPr>
      <w:rFonts w:cstheme="minorBidi"/>
      <w:kern w:val="2"/>
      <w:sz w:val="28"/>
      <w:szCs w:val="22"/>
    </w:rPr>
  </w:style>
  <w:style w:type="character" w:customStyle="1" w:styleId="25">
    <w:name w:val="批注框文本 字符"/>
    <w:basedOn w:val="17"/>
    <w:link w:val="14"/>
    <w:qFormat/>
    <w:uiPriority w:val="0"/>
    <w:rPr>
      <w:rFonts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7698</Words>
  <Characters>8196</Characters>
  <Lines>66</Lines>
  <Paragraphs>18</Paragraphs>
  <TotalTime>0</TotalTime>
  <ScaleCrop>false</ScaleCrop>
  <LinksUpToDate>false</LinksUpToDate>
  <CharactersWithSpaces>8251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2025-10-27T06:15:00Z</dcterms:created>
  <dc:creator>dhc_his</dc:creator>
  <cp:lastModifiedBy>陈柯岚</cp:lastModifiedBy>
  <cp:lastPrinted>2026-06-22T09:13:00Z</cp:lastPrinted>
  <dcterms:modified xsi:type="dcterms:W3CDTF">2026-09-21T07:51:13Z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761C3871D8AE44C186129F403388D890_13</vt:lpwstr>
  </property>
  <property fmtid="{D5CDD505-2E9C-101B-9397-08002B2CF9AE}" pid="4" name="KSOTemplateDocerSaveRecord">
    <vt:lpwstr>eyJoZGlkIjoiNzFlMjMwZGJkMDk0NjRmNTA4MmJkNjU5M2Y3ZjRhZmEiLCJ1c2VySWQiOiIxMDEwNTk2NjIzIn0=</vt:lpwstr>
  </property>
</Properties>
</file>