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B7F87">
      <w:pPr>
        <w:pStyle w:val="3"/>
        <w:spacing w:line="4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电脑打印机耗材及维修维护服务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要求</w:t>
      </w:r>
    </w:p>
    <w:p w14:paraId="12C5EAF2">
      <w:pPr>
        <w:pStyle w:val="3"/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一、项目概述</w:t>
      </w:r>
    </w:p>
    <w:p w14:paraId="4B95721C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1.</w:t>
      </w:r>
      <w:r>
        <w:rPr>
          <w:rFonts w:hint="eastAsia" w:ascii="仿宋" w:hAnsi="仿宋" w:eastAsia="仿宋"/>
          <w:sz w:val="28"/>
          <w:szCs w:val="32"/>
          <w:highlight w:val="none"/>
        </w:rPr>
        <w:t>本项目拟采购成都市第二人民医院</w:t>
      </w:r>
      <w:r>
        <w:rPr>
          <w:rFonts w:hint="eastAsia" w:ascii="仿宋" w:hAnsi="仿宋" w:eastAsia="仿宋"/>
          <w:bCs/>
          <w:sz w:val="28"/>
          <w:szCs w:val="36"/>
          <w:highlight w:val="none"/>
        </w:rPr>
        <w:t>电脑打印机耗材及维修维护服务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，为采购人全院计算机、打印机、复印机等提供日常维护、保养及相关耗材的配送服务。</w:t>
      </w:r>
    </w:p>
    <w:p w14:paraId="086C3999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2.项目</w:t>
      </w: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名称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：</w:t>
      </w:r>
      <w:r>
        <w:rPr>
          <w:rFonts w:hint="eastAsia" w:ascii="仿宋" w:hAnsi="仿宋" w:eastAsia="仿宋"/>
          <w:sz w:val="28"/>
          <w:szCs w:val="32"/>
          <w:highlight w:val="none"/>
        </w:rPr>
        <w:t>成都市第二人民医院电脑打印机耗材及维修维护服务</w:t>
      </w:r>
    </w:p>
    <w:p w14:paraId="1DF139C8">
      <w:pPr>
        <w:pStyle w:val="3"/>
        <w:spacing w:line="400" w:lineRule="exact"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32"/>
          <w:highlight w:val="none"/>
          <w:lang w:val="en-US" w:eastAsia="zh-CN" w:bidi="ar-SA"/>
        </w:rPr>
        <w:t>3.本次公开发布的内容为市场询价调研，旨在了解潜在供应商对本项目耗材及维修配件价格的承接意愿，收集价格反馈，为采购人后续设定最高限价和编制采购需求提供参考。本次询价不构成正式采购程序，不产生中标或成交结果。</w:t>
      </w:r>
    </w:p>
    <w:p w14:paraId="4CDB9000">
      <w:pPr>
        <w:pStyle w:val="3"/>
        <w:spacing w:line="400" w:lineRule="exact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二、商务要求</w:t>
      </w:r>
    </w:p>
    <w:p w14:paraId="012382D3">
      <w:pPr>
        <w:pStyle w:val="4"/>
        <w:spacing w:line="400" w:lineRule="exact"/>
        <w:ind w:firstLine="480"/>
        <w:outlineLvl w:val="2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（一）服务期及地点：</w:t>
      </w:r>
    </w:p>
    <w:p w14:paraId="0FD31775">
      <w:pPr>
        <w:pStyle w:val="4"/>
        <w:spacing w:line="400" w:lineRule="exact"/>
        <w:ind w:firstLine="480"/>
        <w:rPr>
          <w:rFonts w:ascii="仿宋" w:hAnsi="仿宋" w:eastAsia="仿宋"/>
          <w:b/>
          <w:bCs w:val="0"/>
          <w:sz w:val="28"/>
          <w:szCs w:val="28"/>
          <w:highlight w:val="none"/>
        </w:rPr>
      </w:pPr>
      <w:r>
        <w:rPr>
          <w:rFonts w:ascii="仿宋" w:hAnsi="仿宋" w:eastAsia="仿宋"/>
          <w:b/>
          <w:bCs w:val="0"/>
          <w:sz w:val="28"/>
          <w:szCs w:val="28"/>
          <w:highlight w:val="none"/>
        </w:rPr>
        <w:t>1.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服务期：服务期为3年，合同一年一签，考核情况低于70分终止合同且不再续签。</w:t>
      </w:r>
    </w:p>
    <w:p w14:paraId="72B71C3A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ascii="仿宋" w:hAnsi="仿宋" w:eastAsia="仿宋"/>
          <w:bCs/>
          <w:sz w:val="28"/>
          <w:szCs w:val="28"/>
          <w:highlight w:val="none"/>
        </w:rPr>
        <w:t>2.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服务地点：成都市第二人民医院庆云院区、龙潭院区。</w:t>
      </w:r>
    </w:p>
    <w:p w14:paraId="13F6A2D5">
      <w:pPr>
        <w:pStyle w:val="4"/>
        <w:spacing w:line="400" w:lineRule="exact"/>
        <w:ind w:firstLine="480"/>
        <w:outlineLvl w:val="2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（二）付款方法和条件：</w:t>
      </w:r>
    </w:p>
    <w:p w14:paraId="20A9F984">
      <w:pPr>
        <w:pStyle w:val="4"/>
        <w:spacing w:line="400" w:lineRule="exact"/>
        <w:ind w:firstLine="480"/>
        <w:rPr>
          <w:rFonts w:hint="eastAsia" w:ascii="仿宋" w:hAnsi="仿宋" w:eastAsia="仿宋"/>
          <w:b w:val="0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 w:val="0"/>
          <w:bCs/>
          <w:sz w:val="28"/>
          <w:szCs w:val="28"/>
          <w:highlight w:val="none"/>
        </w:rPr>
        <w:t>采购人每月进行结算，双方核对耗材配送量及维修配件量后收到供应商开具正式发票后15</w:t>
      </w:r>
      <w:r>
        <w:rPr>
          <w:rFonts w:hint="eastAsia" w:ascii="仿宋" w:hAnsi="仿宋" w:eastAsia="仿宋"/>
          <w:b w:val="0"/>
          <w:bCs/>
          <w:sz w:val="28"/>
          <w:szCs w:val="28"/>
          <w:highlight w:val="none"/>
          <w:lang w:val="en-US" w:eastAsia="zh-CN"/>
        </w:rPr>
        <w:t>个工作</w:t>
      </w:r>
      <w:r>
        <w:rPr>
          <w:rFonts w:hint="eastAsia" w:ascii="仿宋" w:hAnsi="仿宋" w:eastAsia="仿宋"/>
          <w:b w:val="0"/>
          <w:bCs/>
          <w:sz w:val="28"/>
          <w:szCs w:val="28"/>
          <w:highlight w:val="none"/>
        </w:rPr>
        <w:t>日内支付该批次全部金额（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实际结算金额在采购预算范围内，以实际数量按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结算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单价结算</w:t>
      </w:r>
      <w:r>
        <w:rPr>
          <w:rFonts w:hint="eastAsia" w:ascii="仿宋" w:hAnsi="仿宋" w:eastAsia="仿宋"/>
          <w:b w:val="0"/>
          <w:bCs/>
          <w:sz w:val="28"/>
          <w:szCs w:val="28"/>
          <w:highlight w:val="none"/>
        </w:rPr>
        <w:t>）。合同周期内价格固定不变。</w:t>
      </w:r>
    </w:p>
    <w:p w14:paraId="4B7E8593">
      <w:pPr>
        <w:pStyle w:val="4"/>
        <w:spacing w:line="400" w:lineRule="exact"/>
        <w:ind w:firstLine="480"/>
        <w:rPr>
          <w:rFonts w:hint="eastAsia" w:ascii="仿宋" w:hAnsi="仿宋" w:eastAsia="仿宋"/>
          <w:b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本次询价中，供应商需针对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采购人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提供的《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明细清单汇总表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》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包含3个子表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填报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各产品单价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。该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单价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将作为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采购人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后续设定最高限价及编制采购文件的参考依据之一，不构成供应商的正式报价承诺。</w:t>
      </w:r>
    </w:p>
    <w:p w14:paraId="6C87D1B6">
      <w:pPr>
        <w:pStyle w:val="4"/>
        <w:spacing w:line="400" w:lineRule="exact"/>
        <w:ind w:firstLine="480"/>
        <w:outlineLvl w:val="2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（三）维护维保服务：</w:t>
      </w:r>
    </w:p>
    <w:p w14:paraId="222030F3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ascii="仿宋" w:hAnsi="仿宋" w:eastAsia="仿宋"/>
          <w:bCs/>
          <w:sz w:val="28"/>
          <w:szCs w:val="28"/>
          <w:highlight w:val="none"/>
        </w:rPr>
        <w:t>1.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所提供产品保证为正品行货，所供产品按制造商相关保修规定进行保修。如因提供假冒产品影响采购人工作，采购人有权终止本协议且不予结算该假冒产品。</w:t>
      </w:r>
    </w:p>
    <w:p w14:paraId="62C564C3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ascii="仿宋" w:hAnsi="仿宋" w:eastAsia="仿宋"/>
          <w:bCs/>
          <w:sz w:val="28"/>
          <w:szCs w:val="28"/>
          <w:highlight w:val="none"/>
        </w:rPr>
        <w:t>2.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如出现产品质量不合格或无法满足采购人使用需求，供应商无条件退换，1个工作日完成退换工作。</w:t>
      </w:r>
    </w:p>
    <w:p w14:paraId="00159C45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ascii="仿宋" w:hAnsi="仿宋" w:eastAsia="仿宋"/>
          <w:bCs/>
          <w:sz w:val="28"/>
          <w:szCs w:val="28"/>
          <w:highlight w:val="none"/>
        </w:rPr>
        <w:t>3.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供应商须提供全新的货物（含零部件、配件等），表面无划伤、无碰撞痕迹，且权属清楚，不得侵害他人的知识产权。</w:t>
      </w:r>
    </w:p>
    <w:p w14:paraId="4BC086AD">
      <w:pPr>
        <w:pStyle w:val="4"/>
        <w:spacing w:line="400" w:lineRule="exact"/>
        <w:ind w:firstLine="480"/>
        <w:rPr>
          <w:rFonts w:hint="default" w:ascii="仿宋" w:hAnsi="仿宋" w:eastAsia="仿宋"/>
          <w:bCs/>
          <w:sz w:val="28"/>
          <w:szCs w:val="28"/>
          <w:highlight w:val="none"/>
          <w:lang w:val="en-US" w:eastAsia="zh-CN"/>
        </w:rPr>
      </w:pPr>
      <w:r>
        <w:rPr>
          <w:rFonts w:ascii="仿宋" w:hAnsi="仿宋" w:eastAsia="仿宋"/>
          <w:bCs/>
          <w:sz w:val="28"/>
          <w:szCs w:val="28"/>
          <w:highlight w:val="none"/>
        </w:rPr>
        <w:t>4.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供应商须派驻技术人员到采购人驻点服务。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常驻庆云院区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人、龙潭院区2人。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常驻人员上岗前接受采购人考核，考核合格后上岗，考核不合格须供应商须更换常驻人员，连续三次考核不合格，采购人有权终止合同。常驻人员按采购人工作时间到院上班，并接受相应考勤管理。供应商常驻采购人技术人员提供7*24服务。非国家法定工作时间，庆云院区安排1人值班，龙潭院区安排1人值班。在特殊时段，需根据采购人安排临时增加驻场人员。若2小时内不能排除故障，需提供相应备用机供采购人使用。供应商应收到采购人需求通知后驻点人员30分钟内到达采购人指定地点。需更换维修配件3天内完成维修。若需紧急维修更换配件，4小时内完成维修。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供应商须在院区就近位置，自行设立中转库房及非上班时间段的驻留地，以达到响应时间内配送及维修需求。</w:t>
      </w:r>
    </w:p>
    <w:p w14:paraId="4124AA89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ascii="仿宋" w:hAnsi="仿宋" w:eastAsia="仿宋"/>
          <w:bCs/>
          <w:sz w:val="28"/>
          <w:szCs w:val="28"/>
          <w:highlight w:val="none"/>
        </w:rPr>
        <w:t>5.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供应商每年度接受采购人服务效果考评2次，考核情况低于70分终止合同且不再续签。（考核标准见</w:t>
      </w: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下表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）</w:t>
      </w:r>
    </w:p>
    <w:tbl>
      <w:tblPr>
        <w:tblStyle w:val="7"/>
        <w:tblW w:w="97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7"/>
        <w:gridCol w:w="893"/>
        <w:gridCol w:w="1067"/>
        <w:gridCol w:w="846"/>
        <w:gridCol w:w="3472"/>
        <w:gridCol w:w="1134"/>
        <w:gridCol w:w="1417"/>
      </w:tblGrid>
      <w:tr w14:paraId="12B3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67" w:type="dxa"/>
            <w:vAlign w:val="center"/>
          </w:tcPr>
          <w:p w14:paraId="1EDFEE69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893" w:type="dxa"/>
            <w:vAlign w:val="center"/>
          </w:tcPr>
          <w:p w14:paraId="433226C3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考核项目</w:t>
            </w:r>
          </w:p>
        </w:tc>
        <w:tc>
          <w:tcPr>
            <w:tcW w:w="1067" w:type="dxa"/>
            <w:vAlign w:val="center"/>
          </w:tcPr>
          <w:p w14:paraId="1EFA194F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考核</w:t>
            </w:r>
          </w:p>
          <w:p w14:paraId="0A601B69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内容</w:t>
            </w:r>
          </w:p>
        </w:tc>
        <w:tc>
          <w:tcPr>
            <w:tcW w:w="846" w:type="dxa"/>
            <w:vAlign w:val="center"/>
          </w:tcPr>
          <w:p w14:paraId="7B9CFD52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标准分值</w:t>
            </w:r>
          </w:p>
        </w:tc>
        <w:tc>
          <w:tcPr>
            <w:tcW w:w="3472" w:type="dxa"/>
            <w:vAlign w:val="center"/>
          </w:tcPr>
          <w:p w14:paraId="52FF7AC5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评分标准</w:t>
            </w:r>
          </w:p>
        </w:tc>
        <w:tc>
          <w:tcPr>
            <w:tcW w:w="1134" w:type="dxa"/>
            <w:vAlign w:val="center"/>
          </w:tcPr>
          <w:p w14:paraId="7CB9DB55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实得分</w:t>
            </w:r>
          </w:p>
        </w:tc>
        <w:tc>
          <w:tcPr>
            <w:tcW w:w="1417" w:type="dxa"/>
            <w:vAlign w:val="center"/>
          </w:tcPr>
          <w:p w14:paraId="6B943455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备注</w:t>
            </w:r>
          </w:p>
        </w:tc>
      </w:tr>
      <w:tr w14:paraId="74A56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67" w:type="dxa"/>
            <w:vAlign w:val="center"/>
          </w:tcPr>
          <w:p w14:paraId="5FB322B2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一</w:t>
            </w:r>
          </w:p>
        </w:tc>
        <w:tc>
          <w:tcPr>
            <w:tcW w:w="893" w:type="dxa"/>
            <w:vAlign w:val="center"/>
          </w:tcPr>
          <w:p w14:paraId="7D0BE3E3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产品</w:t>
            </w:r>
          </w:p>
          <w:p w14:paraId="3D44E05E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质量</w:t>
            </w:r>
          </w:p>
        </w:tc>
        <w:tc>
          <w:tcPr>
            <w:tcW w:w="1067" w:type="dxa"/>
            <w:vAlign w:val="center"/>
          </w:tcPr>
          <w:p w14:paraId="296A2145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质量</w:t>
            </w:r>
          </w:p>
        </w:tc>
        <w:tc>
          <w:tcPr>
            <w:tcW w:w="846" w:type="dxa"/>
            <w:vAlign w:val="center"/>
          </w:tcPr>
          <w:p w14:paraId="7A268007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20</w:t>
            </w:r>
          </w:p>
        </w:tc>
        <w:tc>
          <w:tcPr>
            <w:tcW w:w="3472" w:type="dxa"/>
            <w:vAlign w:val="center"/>
          </w:tcPr>
          <w:p w14:paraId="2A2D9E04">
            <w:pPr>
              <w:widowControl/>
              <w:spacing w:line="400" w:lineRule="exact"/>
              <w:jc w:val="left"/>
              <w:textAlignment w:val="center"/>
              <w:rPr>
                <w:rFonts w:hint="default" w:ascii="仿宋" w:hAnsi="仿宋" w:eastAsia="仿宋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  <w:t>包装完好、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</w:rPr>
              <w:t>表面无划伤、无碰撞痕迹（含零部件、配件等）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/>
                <w:bCs/>
                <w:sz w:val="24"/>
                <w:highlight w:val="none"/>
                <w:lang w:val="en-US" w:eastAsia="zh-CN"/>
              </w:rPr>
              <w:t>无质量问题</w:t>
            </w:r>
          </w:p>
        </w:tc>
        <w:tc>
          <w:tcPr>
            <w:tcW w:w="1134" w:type="dxa"/>
            <w:vAlign w:val="center"/>
          </w:tcPr>
          <w:p w14:paraId="4AC4F48B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  <w:tc>
          <w:tcPr>
            <w:tcW w:w="1417" w:type="dxa"/>
            <w:vAlign w:val="center"/>
          </w:tcPr>
          <w:p w14:paraId="719B0FF0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</w:tr>
      <w:tr w14:paraId="6B207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967" w:type="dxa"/>
            <w:vMerge w:val="restart"/>
            <w:vAlign w:val="center"/>
          </w:tcPr>
          <w:p w14:paraId="3486EA0D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二</w:t>
            </w:r>
          </w:p>
        </w:tc>
        <w:tc>
          <w:tcPr>
            <w:tcW w:w="893" w:type="dxa"/>
            <w:vMerge w:val="restart"/>
            <w:vAlign w:val="center"/>
          </w:tcPr>
          <w:p w14:paraId="76147130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服务</w:t>
            </w:r>
          </w:p>
          <w:p w14:paraId="646B0E96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质量</w:t>
            </w:r>
          </w:p>
        </w:tc>
        <w:tc>
          <w:tcPr>
            <w:tcW w:w="1067" w:type="dxa"/>
            <w:vAlign w:val="center"/>
          </w:tcPr>
          <w:p w14:paraId="1D6C2781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供货</w:t>
            </w:r>
          </w:p>
          <w:p w14:paraId="4DC98829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价格</w:t>
            </w:r>
          </w:p>
        </w:tc>
        <w:tc>
          <w:tcPr>
            <w:tcW w:w="846" w:type="dxa"/>
            <w:vAlign w:val="center"/>
          </w:tcPr>
          <w:p w14:paraId="47A40268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25</w:t>
            </w:r>
          </w:p>
        </w:tc>
        <w:tc>
          <w:tcPr>
            <w:tcW w:w="3472" w:type="dxa"/>
            <w:vAlign w:val="center"/>
          </w:tcPr>
          <w:p w14:paraId="45400409"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合同所列以外货物供货价格低于电商及市场价格</w:t>
            </w:r>
          </w:p>
        </w:tc>
        <w:tc>
          <w:tcPr>
            <w:tcW w:w="1134" w:type="dxa"/>
            <w:vAlign w:val="center"/>
          </w:tcPr>
          <w:p w14:paraId="3D8BB8A3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  <w:tc>
          <w:tcPr>
            <w:tcW w:w="1417" w:type="dxa"/>
            <w:vAlign w:val="center"/>
          </w:tcPr>
          <w:p w14:paraId="229DE96E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</w:tr>
      <w:tr w14:paraId="26AE2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  <w:jc w:val="center"/>
        </w:trPr>
        <w:tc>
          <w:tcPr>
            <w:tcW w:w="967" w:type="dxa"/>
            <w:vMerge w:val="continue"/>
            <w:vAlign w:val="center"/>
          </w:tcPr>
          <w:p w14:paraId="29DCF0B8">
            <w:pPr>
              <w:spacing w:line="400" w:lineRule="exact"/>
              <w:jc w:val="center"/>
              <w:rPr>
                <w:rFonts w:ascii="仿宋" w:hAnsi="仿宋" w:eastAsia="仿宋" w:cs="宋体"/>
                <w:sz w:val="24"/>
                <w:highlight w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 w14:paraId="1B8CD14E">
            <w:pPr>
              <w:spacing w:line="400" w:lineRule="exact"/>
              <w:jc w:val="center"/>
              <w:rPr>
                <w:rFonts w:ascii="仿宋" w:hAnsi="仿宋" w:eastAsia="仿宋" w:cs="宋体"/>
                <w:sz w:val="24"/>
                <w:highlight w:val="none"/>
              </w:rPr>
            </w:pPr>
          </w:p>
        </w:tc>
        <w:tc>
          <w:tcPr>
            <w:tcW w:w="1067" w:type="dxa"/>
            <w:vAlign w:val="center"/>
          </w:tcPr>
          <w:p w14:paraId="77A08374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供货</w:t>
            </w:r>
          </w:p>
          <w:p w14:paraId="16868DC5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时间</w:t>
            </w:r>
          </w:p>
        </w:tc>
        <w:tc>
          <w:tcPr>
            <w:tcW w:w="846" w:type="dxa"/>
            <w:vAlign w:val="center"/>
          </w:tcPr>
          <w:p w14:paraId="3AE80101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</w:t>
            </w:r>
          </w:p>
        </w:tc>
        <w:tc>
          <w:tcPr>
            <w:tcW w:w="3472" w:type="dxa"/>
            <w:vAlign w:val="center"/>
          </w:tcPr>
          <w:p w14:paraId="604EAAB1"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宋体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响应</w:t>
            </w: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  <w:lang w:val="en-US" w:eastAsia="zh-CN"/>
              </w:rPr>
              <w:t>及时性</w:t>
            </w:r>
          </w:p>
        </w:tc>
        <w:tc>
          <w:tcPr>
            <w:tcW w:w="1134" w:type="dxa"/>
            <w:vAlign w:val="center"/>
          </w:tcPr>
          <w:p w14:paraId="30C5902D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  <w:tc>
          <w:tcPr>
            <w:tcW w:w="1417" w:type="dxa"/>
            <w:vAlign w:val="center"/>
          </w:tcPr>
          <w:p w14:paraId="4E875447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</w:tr>
      <w:tr w14:paraId="5911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967" w:type="dxa"/>
            <w:vMerge w:val="continue"/>
            <w:vAlign w:val="center"/>
          </w:tcPr>
          <w:p w14:paraId="0A284C6E">
            <w:pPr>
              <w:spacing w:line="400" w:lineRule="exact"/>
              <w:jc w:val="center"/>
              <w:rPr>
                <w:rFonts w:ascii="仿宋" w:hAnsi="仿宋" w:eastAsia="仿宋" w:cs="宋体"/>
                <w:sz w:val="24"/>
                <w:highlight w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 w14:paraId="4A7F66C9">
            <w:pPr>
              <w:spacing w:line="400" w:lineRule="exact"/>
              <w:jc w:val="center"/>
              <w:rPr>
                <w:rFonts w:ascii="仿宋" w:hAnsi="仿宋" w:eastAsia="仿宋" w:cs="宋体"/>
                <w:sz w:val="24"/>
                <w:highlight w:val="none"/>
              </w:rPr>
            </w:pPr>
          </w:p>
        </w:tc>
        <w:tc>
          <w:tcPr>
            <w:tcW w:w="1067" w:type="dxa"/>
            <w:vAlign w:val="center"/>
          </w:tcPr>
          <w:p w14:paraId="23D0D79D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供货</w:t>
            </w:r>
          </w:p>
          <w:p w14:paraId="7DDA7BEB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能力</w:t>
            </w:r>
          </w:p>
        </w:tc>
        <w:tc>
          <w:tcPr>
            <w:tcW w:w="846" w:type="dxa"/>
            <w:vAlign w:val="center"/>
          </w:tcPr>
          <w:p w14:paraId="52254027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</w:t>
            </w:r>
          </w:p>
        </w:tc>
        <w:tc>
          <w:tcPr>
            <w:tcW w:w="3472" w:type="dxa"/>
            <w:vAlign w:val="center"/>
          </w:tcPr>
          <w:p w14:paraId="3A15C692"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库存充足，保证及时供货</w:t>
            </w:r>
          </w:p>
        </w:tc>
        <w:tc>
          <w:tcPr>
            <w:tcW w:w="1134" w:type="dxa"/>
            <w:vAlign w:val="center"/>
          </w:tcPr>
          <w:p w14:paraId="664B3464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  <w:tc>
          <w:tcPr>
            <w:tcW w:w="1417" w:type="dxa"/>
            <w:vAlign w:val="center"/>
          </w:tcPr>
          <w:p w14:paraId="1CFCA579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</w:tr>
      <w:tr w14:paraId="297DB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6" w:hRule="atLeast"/>
          <w:jc w:val="center"/>
        </w:trPr>
        <w:tc>
          <w:tcPr>
            <w:tcW w:w="967" w:type="dxa"/>
            <w:vMerge w:val="continue"/>
            <w:vAlign w:val="center"/>
          </w:tcPr>
          <w:p w14:paraId="5286B7BC">
            <w:pPr>
              <w:spacing w:line="400" w:lineRule="exact"/>
              <w:jc w:val="center"/>
              <w:rPr>
                <w:rFonts w:ascii="仿宋" w:hAnsi="仿宋" w:eastAsia="仿宋" w:cs="宋体"/>
                <w:sz w:val="24"/>
                <w:highlight w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 w14:paraId="17E737F9">
            <w:pPr>
              <w:spacing w:line="400" w:lineRule="exact"/>
              <w:jc w:val="center"/>
              <w:rPr>
                <w:rFonts w:ascii="仿宋" w:hAnsi="仿宋" w:eastAsia="仿宋" w:cs="宋体"/>
                <w:sz w:val="24"/>
                <w:highlight w:val="none"/>
              </w:rPr>
            </w:pPr>
          </w:p>
        </w:tc>
        <w:tc>
          <w:tcPr>
            <w:tcW w:w="1067" w:type="dxa"/>
            <w:vAlign w:val="center"/>
          </w:tcPr>
          <w:p w14:paraId="53B58165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售后</w:t>
            </w:r>
          </w:p>
          <w:p w14:paraId="743D6884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服务</w:t>
            </w:r>
          </w:p>
        </w:tc>
        <w:tc>
          <w:tcPr>
            <w:tcW w:w="846" w:type="dxa"/>
            <w:vAlign w:val="center"/>
          </w:tcPr>
          <w:p w14:paraId="272B475E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25</w:t>
            </w:r>
          </w:p>
        </w:tc>
        <w:tc>
          <w:tcPr>
            <w:tcW w:w="3472" w:type="dxa"/>
            <w:vAlign w:val="center"/>
          </w:tcPr>
          <w:p w14:paraId="5916F03F"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认真履行服务条款，服务实施规范化、服务专业、服务过程无重大错误、服务过程提出合理性建议等</w:t>
            </w:r>
            <w:r>
              <w:rPr>
                <w:rStyle w:val="10"/>
                <w:rFonts w:hint="default" w:ascii="仿宋" w:hAnsi="仿宋" w:eastAsia="仿宋"/>
                <w:color w:val="auto"/>
                <w:sz w:val="24"/>
                <w:szCs w:val="24"/>
                <w:highlight w:val="none"/>
              </w:rPr>
              <w:t>。积极配合医院完成其他工作及人员调配。</w:t>
            </w:r>
          </w:p>
        </w:tc>
        <w:tc>
          <w:tcPr>
            <w:tcW w:w="1134" w:type="dxa"/>
            <w:vAlign w:val="center"/>
          </w:tcPr>
          <w:p w14:paraId="4A8E07B3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  <w:tc>
          <w:tcPr>
            <w:tcW w:w="1417" w:type="dxa"/>
            <w:vAlign w:val="center"/>
          </w:tcPr>
          <w:p w14:paraId="0C4EEB7A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</w:tr>
      <w:tr w14:paraId="7049C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  <w:jc w:val="center"/>
        </w:trPr>
        <w:tc>
          <w:tcPr>
            <w:tcW w:w="967" w:type="dxa"/>
            <w:vAlign w:val="center"/>
          </w:tcPr>
          <w:p w14:paraId="7E6A2461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三</w:t>
            </w:r>
          </w:p>
        </w:tc>
        <w:tc>
          <w:tcPr>
            <w:tcW w:w="893" w:type="dxa"/>
            <w:vAlign w:val="center"/>
          </w:tcPr>
          <w:p w14:paraId="336B28B5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供应商信誉</w:t>
            </w:r>
          </w:p>
        </w:tc>
        <w:tc>
          <w:tcPr>
            <w:tcW w:w="1067" w:type="dxa"/>
            <w:vAlign w:val="center"/>
          </w:tcPr>
          <w:p w14:paraId="08A61CCA">
            <w:pPr>
              <w:spacing w:line="400" w:lineRule="exact"/>
              <w:jc w:val="center"/>
              <w:rPr>
                <w:rFonts w:ascii="仿宋" w:hAnsi="仿宋" w:eastAsia="仿宋" w:cs="宋体"/>
                <w:sz w:val="24"/>
                <w:highlight w:val="none"/>
              </w:rPr>
            </w:pPr>
          </w:p>
        </w:tc>
        <w:tc>
          <w:tcPr>
            <w:tcW w:w="846" w:type="dxa"/>
            <w:vAlign w:val="center"/>
          </w:tcPr>
          <w:p w14:paraId="363A2FAF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10</w:t>
            </w:r>
          </w:p>
        </w:tc>
        <w:tc>
          <w:tcPr>
            <w:tcW w:w="3472" w:type="dxa"/>
            <w:vAlign w:val="center"/>
          </w:tcPr>
          <w:p w14:paraId="4598D980">
            <w:pPr>
              <w:widowControl/>
              <w:spacing w:line="400" w:lineRule="exact"/>
              <w:jc w:val="left"/>
              <w:textAlignment w:val="center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行为规范：公平、公正、廉洁自律。</w:t>
            </w:r>
          </w:p>
        </w:tc>
        <w:tc>
          <w:tcPr>
            <w:tcW w:w="1134" w:type="dxa"/>
            <w:vAlign w:val="center"/>
          </w:tcPr>
          <w:p w14:paraId="7B950736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  <w:tc>
          <w:tcPr>
            <w:tcW w:w="1417" w:type="dxa"/>
            <w:vAlign w:val="center"/>
          </w:tcPr>
          <w:p w14:paraId="15425B45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</w:tr>
      <w:tr w14:paraId="700ED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jc w:val="center"/>
        </w:trPr>
        <w:tc>
          <w:tcPr>
            <w:tcW w:w="7245" w:type="dxa"/>
            <w:gridSpan w:val="5"/>
            <w:vAlign w:val="center"/>
          </w:tcPr>
          <w:p w14:paraId="332A95FB"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highlight w:val="none"/>
              </w:rPr>
              <w:t>合计</w:t>
            </w:r>
          </w:p>
        </w:tc>
        <w:tc>
          <w:tcPr>
            <w:tcW w:w="1134" w:type="dxa"/>
            <w:vAlign w:val="center"/>
          </w:tcPr>
          <w:p w14:paraId="6142E136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  <w:tc>
          <w:tcPr>
            <w:tcW w:w="1417" w:type="dxa"/>
            <w:vAlign w:val="center"/>
          </w:tcPr>
          <w:p w14:paraId="21A25A98">
            <w:pPr>
              <w:spacing w:line="400" w:lineRule="exact"/>
              <w:jc w:val="center"/>
              <w:rPr>
                <w:rFonts w:ascii="仿宋" w:hAnsi="仿宋" w:eastAsia="仿宋" w:cs="Calibri"/>
                <w:sz w:val="24"/>
                <w:highlight w:val="none"/>
              </w:rPr>
            </w:pPr>
          </w:p>
        </w:tc>
      </w:tr>
    </w:tbl>
    <w:p w14:paraId="2F0F1473">
      <w:pPr>
        <w:pStyle w:val="4"/>
        <w:spacing w:line="400" w:lineRule="exact"/>
        <w:ind w:firstLine="480"/>
        <w:outlineLvl w:val="2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（四）履约验收：</w:t>
      </w:r>
    </w:p>
    <w:p w14:paraId="6687B978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bookmarkStart w:id="0" w:name="_Hlk132358944"/>
      <w:r>
        <w:rPr>
          <w:rFonts w:ascii="仿宋" w:hAnsi="仿宋" w:eastAsia="仿宋"/>
          <w:bCs/>
          <w:sz w:val="28"/>
          <w:szCs w:val="28"/>
          <w:highlight w:val="none"/>
        </w:rPr>
        <w:t>1.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履约验收主体：成都市第二人民医院</w:t>
      </w:r>
    </w:p>
    <w:p w14:paraId="5ED50651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ascii="仿宋" w:hAnsi="仿宋" w:eastAsia="仿宋"/>
          <w:bCs/>
          <w:sz w:val="28"/>
          <w:szCs w:val="28"/>
          <w:highlight w:val="none"/>
        </w:rPr>
        <w:t>2.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验收组织方式：自行验收，货物在</w:t>
      </w: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收货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时填写验收记录文件，验收记录文件应当由采购人、供应商双方签字认可。</w:t>
      </w:r>
    </w:p>
    <w:p w14:paraId="3E819F9B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3</w:t>
      </w:r>
      <w:r>
        <w:rPr>
          <w:rFonts w:ascii="仿宋" w:hAnsi="仿宋" w:eastAsia="仿宋"/>
          <w:bCs/>
          <w:sz w:val="28"/>
          <w:szCs w:val="28"/>
          <w:highlight w:val="none"/>
        </w:rPr>
        <w:t>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履约验收程序：分段验收</w:t>
      </w:r>
    </w:p>
    <w:p w14:paraId="1EA13CA8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4</w:t>
      </w:r>
      <w:r>
        <w:rPr>
          <w:rFonts w:ascii="仿宋" w:hAnsi="仿宋" w:eastAsia="仿宋"/>
          <w:bCs/>
          <w:sz w:val="28"/>
          <w:szCs w:val="28"/>
          <w:highlight w:val="none"/>
        </w:rPr>
        <w:t>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验收时发现货物数量不足、规格与要求不符，或虽然货物外包装完好无损但货物短缺或损伤，采购人有权拒绝接收并要求供应商进行补足货物。采购人一旦发现质量问题，有权抽检送检，如问题属实检验费用由供应商承担，采购人有权无条件解除合同，并追究供应商相关责任。</w:t>
      </w:r>
    </w:p>
    <w:p w14:paraId="2494D989">
      <w:pPr>
        <w:pStyle w:val="4"/>
        <w:spacing w:line="400" w:lineRule="exact"/>
        <w:ind w:firstLine="480"/>
        <w:outlineLvl w:val="2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（五）其他要求</w:t>
      </w:r>
    </w:p>
    <w:p w14:paraId="74ED4B84">
      <w:pPr>
        <w:pStyle w:val="4"/>
        <w:spacing w:line="400" w:lineRule="exact"/>
        <w:ind w:firstLine="480"/>
        <w:rPr>
          <w:rFonts w:hint="default" w:ascii="仿宋" w:hAnsi="仿宋" w:eastAsia="仿宋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服务期间，采购人需采购项目清单中未涉及的耗材的，按照该耗材品牌京东自营旗舰店标价乘以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成交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统一折扣率进行结算。采购人需采购项目清单中未涉及的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维修配件，按照该配件品牌官方维修点</w:t>
      </w:r>
      <w:r>
        <w:rPr>
          <w:rFonts w:hint="eastAsia" w:ascii="仿宋" w:hAnsi="仿宋" w:eastAsia="仿宋"/>
          <w:b/>
          <w:bCs w:val="0"/>
          <w:sz w:val="28"/>
          <w:szCs w:val="28"/>
          <w:highlight w:val="none"/>
        </w:rPr>
        <w:t>标价乘以中标统一折扣率进行结算。</w:t>
      </w:r>
    </w:p>
    <w:bookmarkEnd w:id="0"/>
    <w:p w14:paraId="5EADCC35">
      <w:pPr>
        <w:pStyle w:val="3"/>
        <w:spacing w:line="400" w:lineRule="exact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三、技术</w:t>
      </w:r>
      <w:r>
        <w:rPr>
          <w:rFonts w:ascii="仿宋" w:hAnsi="仿宋" w:eastAsia="仿宋"/>
          <w:sz w:val="28"/>
          <w:szCs w:val="28"/>
          <w:highlight w:val="none"/>
        </w:rPr>
        <w:t>服务要求</w:t>
      </w:r>
    </w:p>
    <w:p w14:paraId="453A7B70">
      <w:pPr>
        <w:pStyle w:val="4"/>
        <w:spacing w:line="400" w:lineRule="exact"/>
        <w:ind w:firstLine="480"/>
        <w:outlineLvl w:val="2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（一）电脑配件耗材技术要求</w:t>
      </w:r>
    </w:p>
    <w:p w14:paraId="34AB7A49">
      <w:pPr>
        <w:pStyle w:val="4"/>
        <w:spacing w:line="400" w:lineRule="exact"/>
        <w:ind w:firstLine="482"/>
        <w:rPr>
          <w:rFonts w:ascii="仿宋" w:hAnsi="仿宋" w:eastAsia="仿宋"/>
          <w:b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sz w:val="28"/>
          <w:szCs w:val="28"/>
          <w:highlight w:val="none"/>
        </w:rPr>
        <w:t>注：配送的企业级路由器、家用路由器需具有《电信设备进网许可证》或《电信设备进网试用批文》，家用路由器还需具有《无线电设备发射型号核准证》，提供证书复印件。</w:t>
      </w:r>
    </w:p>
    <w:p w14:paraId="7DE5B93B">
      <w:pPr>
        <w:pStyle w:val="4"/>
        <w:spacing w:line="400" w:lineRule="exact"/>
        <w:ind w:firstLine="480"/>
        <w:outlineLvl w:val="2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（二）OM3 50/125光纤跳线技术要求</w:t>
      </w:r>
    </w:p>
    <w:p w14:paraId="01E0D27C">
      <w:pPr>
        <w:pStyle w:val="4"/>
        <w:spacing w:line="400" w:lineRule="exact"/>
        <w:ind w:firstLine="482"/>
        <w:rPr>
          <w:rFonts w:ascii="仿宋" w:hAnsi="仿宋" w:eastAsia="仿宋"/>
          <w:b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sz w:val="28"/>
          <w:szCs w:val="28"/>
          <w:highlight w:val="none"/>
        </w:rPr>
        <w:t>注：</w:t>
      </w:r>
      <w:r>
        <w:rPr>
          <w:rFonts w:hint="eastAsia" w:ascii="仿宋" w:hAnsi="仿宋" w:eastAsia="仿宋"/>
          <w:b/>
          <w:sz w:val="28"/>
          <w:szCs w:val="28"/>
          <w:highlight w:val="none"/>
          <w:lang w:val="en-US" w:eastAsia="zh-CN"/>
        </w:rPr>
        <w:t>附</w:t>
      </w:r>
      <w:r>
        <w:rPr>
          <w:rFonts w:hint="eastAsia" w:ascii="仿宋" w:hAnsi="仿宋" w:eastAsia="仿宋"/>
          <w:b/>
          <w:sz w:val="28"/>
          <w:szCs w:val="28"/>
          <w:highlight w:val="none"/>
        </w:rPr>
        <w:t>表中规格、接口作为报价结算单位，为实质性要求。</w:t>
      </w:r>
    </w:p>
    <w:p w14:paraId="26DE39E6">
      <w:pPr>
        <w:pStyle w:val="4"/>
        <w:spacing w:line="400" w:lineRule="exact"/>
        <w:ind w:firstLine="480"/>
        <w:outlineLvl w:val="2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（三）</w:t>
      </w:r>
      <w:bookmarkStart w:id="1" w:name="_Hlk132365434"/>
      <w:r>
        <w:rPr>
          <w:rFonts w:hint="eastAsia" w:ascii="仿宋" w:hAnsi="仿宋" w:eastAsia="仿宋"/>
          <w:bCs/>
          <w:sz w:val="28"/>
          <w:szCs w:val="28"/>
          <w:highlight w:val="none"/>
        </w:rPr>
        <w:t>打印机耗材</w:t>
      </w:r>
      <w:bookmarkEnd w:id="1"/>
      <w:r>
        <w:rPr>
          <w:rFonts w:hint="eastAsia" w:ascii="仿宋" w:hAnsi="仿宋" w:eastAsia="仿宋"/>
          <w:bCs/>
          <w:sz w:val="28"/>
          <w:szCs w:val="28"/>
          <w:highlight w:val="none"/>
        </w:rPr>
        <w:t>技术要求</w:t>
      </w:r>
    </w:p>
    <w:p w14:paraId="1D94A891">
      <w:pPr>
        <w:pStyle w:val="4"/>
        <w:spacing w:line="400" w:lineRule="exact"/>
        <w:ind w:firstLine="482"/>
        <w:rPr>
          <w:rFonts w:ascii="仿宋" w:hAnsi="仿宋" w:eastAsia="仿宋"/>
          <w:b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sz w:val="28"/>
          <w:szCs w:val="28"/>
          <w:highlight w:val="none"/>
        </w:rPr>
        <w:t>注：</w:t>
      </w:r>
      <w:r>
        <w:rPr>
          <w:rFonts w:hint="eastAsia" w:ascii="仿宋" w:hAnsi="仿宋" w:eastAsia="仿宋"/>
          <w:b/>
          <w:sz w:val="28"/>
          <w:szCs w:val="28"/>
          <w:highlight w:val="none"/>
          <w:lang w:val="en-US" w:eastAsia="zh-CN"/>
        </w:rPr>
        <w:t>附</w:t>
      </w:r>
      <w:r>
        <w:rPr>
          <w:rFonts w:hint="eastAsia" w:ascii="仿宋" w:hAnsi="仿宋" w:eastAsia="仿宋"/>
          <w:b/>
          <w:sz w:val="28"/>
          <w:szCs w:val="28"/>
          <w:highlight w:val="none"/>
        </w:rPr>
        <w:t>表中采购人现使用设备型号、产地、耗材型号、单位作为报价结算单位，为实质性要求。</w:t>
      </w:r>
    </w:p>
    <w:p w14:paraId="3E682757">
      <w:pPr>
        <w:pStyle w:val="4"/>
        <w:spacing w:line="400" w:lineRule="exact"/>
        <w:ind w:firstLine="480"/>
        <w:outlineLvl w:val="2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（四）维修配件</w:t>
      </w:r>
    </w:p>
    <w:p w14:paraId="55282135">
      <w:pPr>
        <w:pStyle w:val="4"/>
        <w:spacing w:line="400" w:lineRule="exact"/>
        <w:ind w:firstLine="480"/>
        <w:rPr>
          <w:rFonts w:hint="eastAsia" w:ascii="仿宋" w:hAnsi="仿宋" w:eastAsia="仿宋"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需提供</w:t>
      </w: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附表中涉及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产品</w:t>
      </w:r>
      <w:r>
        <w:rPr>
          <w:rFonts w:hint="eastAsia" w:ascii="仿宋" w:hAnsi="仿宋" w:eastAsia="仿宋"/>
          <w:bCs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配件</w:t>
      </w: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等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维修服务</w:t>
      </w:r>
      <w:r>
        <w:rPr>
          <w:rFonts w:hint="eastAsia" w:ascii="仿宋" w:hAnsi="仿宋" w:eastAsia="仿宋"/>
          <w:bCs/>
          <w:sz w:val="28"/>
          <w:szCs w:val="28"/>
          <w:highlight w:val="none"/>
          <w:lang w:eastAsia="zh-CN"/>
        </w:rPr>
        <w:t>。</w:t>
      </w:r>
    </w:p>
    <w:p w14:paraId="085EF392">
      <w:pPr>
        <w:pStyle w:val="3"/>
        <w:spacing w:line="400" w:lineRule="exact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五、服务方案</w:t>
      </w:r>
    </w:p>
    <w:p w14:paraId="5048549C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ascii="仿宋" w:hAnsi="仿宋" w:eastAsia="仿宋"/>
          <w:bCs/>
          <w:sz w:val="28"/>
          <w:szCs w:val="28"/>
          <w:highlight w:val="none"/>
        </w:rPr>
        <w:t>1.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供应商需提供配送服务方案：方案应包括：①项目团队（包括项目团队组织保障，团队管理架构与职责分工）；②配送实施方案（包括配送流程以及配套的运输工具）；③针对紧急配送的应急预案（包括响应时间、内部人员或运输工具的应急调配措施）；④质量保障方案（包括正规的货物来源、退换货流程等）。</w:t>
      </w:r>
    </w:p>
    <w:p w14:paraId="1D77904A">
      <w:pPr>
        <w:pStyle w:val="4"/>
        <w:spacing w:line="400" w:lineRule="exact"/>
        <w:ind w:firstLine="480"/>
        <w:rPr>
          <w:rFonts w:ascii="仿宋" w:hAnsi="仿宋" w:eastAsia="仿宋"/>
          <w:bCs/>
          <w:sz w:val="28"/>
          <w:szCs w:val="28"/>
          <w:highlight w:val="none"/>
        </w:rPr>
      </w:pPr>
      <w:r>
        <w:rPr>
          <w:rFonts w:ascii="仿宋" w:hAnsi="仿宋" w:eastAsia="仿宋"/>
          <w:bCs/>
          <w:sz w:val="28"/>
          <w:szCs w:val="28"/>
          <w:highlight w:val="none"/>
        </w:rPr>
        <w:t>2.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供应商需提供维修服务方案：方案应包括：①维护维修处理流程（包含维修响应、人员安排等）②售后服务团队配置（包含团队人员配置清单、岗位职责说明等内容）；③维修管理制度（包含维修工艺规范、操作规程规范及记录等）；④维修质量保障（配件保障）。</w:t>
      </w:r>
    </w:p>
    <w:p w14:paraId="70A140B2">
      <w:pPr>
        <w:pStyle w:val="4"/>
        <w:spacing w:line="400" w:lineRule="exact"/>
        <w:ind w:firstLine="480"/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</w:rPr>
        <w:t>3</w:t>
      </w:r>
      <w:r>
        <w:rPr>
          <w:rFonts w:ascii="仿宋" w:hAnsi="仿宋" w:eastAsia="仿宋"/>
          <w:bCs/>
          <w:sz w:val="28"/>
          <w:szCs w:val="28"/>
          <w:highlight w:val="none"/>
        </w:rPr>
        <w:t>.</w:t>
      </w:r>
      <w:r>
        <w:rPr>
          <w:rFonts w:hint="eastAsia" w:ascii="仿宋" w:hAnsi="仿宋" w:eastAsia="仿宋"/>
          <w:bCs/>
          <w:sz w:val="28"/>
          <w:szCs w:val="28"/>
          <w:highlight w:val="none"/>
        </w:rPr>
        <w:t>供应商需回收采购人使用的废旧硒鼓、墨盒，供应商应提供回收采购人使用的废旧硒鼓、墨盒方案，方案应包括：①回收耗材处理方案（包含回收处理流程、人员安排等）；②回收耗材时间安排（包含定期维修时间安排及采购人临时要求回收时间安排）</w:t>
      </w:r>
      <w:r>
        <w:rPr>
          <w:rFonts w:hint="eastAsia" w:ascii="仿宋" w:hAnsi="仿宋" w:eastAsia="仿宋"/>
          <w:bCs/>
          <w:sz w:val="28"/>
          <w:szCs w:val="28"/>
          <w:highlight w:val="none"/>
          <w:lang w:eastAsia="zh-CN"/>
        </w:rPr>
        <w:t>；</w:t>
      </w: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供应商应提供统计每月、半年度、年度回收的废旧硒鼓、墨盒的报告及交付环保单位销毁回收记录证明文件。</w:t>
      </w:r>
    </w:p>
    <w:p w14:paraId="3D2484A1">
      <w:pPr>
        <w:pStyle w:val="4"/>
        <w:spacing w:line="400" w:lineRule="exact"/>
        <w:ind w:firstLine="480"/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 w:val="0"/>
          <w:sz w:val="28"/>
          <w:szCs w:val="28"/>
          <w:highlight w:val="none"/>
          <w:lang w:val="en-US" w:eastAsia="zh-CN"/>
        </w:rPr>
        <w:t>六、报价要求</w:t>
      </w:r>
    </w:p>
    <w:p w14:paraId="68C538DB">
      <w:pPr>
        <w:pStyle w:val="4"/>
        <w:spacing w:line="400" w:lineRule="exact"/>
        <w:ind w:firstLine="480"/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1.供应商根据《明细清单汇总表》（包含3个子表）拟购产品情况，针对采购人提供的参考价逐项报送单价。该单价仅作为采购人后续设定最高限价的参考依据，不构成供应商的正式报价承诺。</w:t>
      </w:r>
      <w:bookmarkStart w:id="2" w:name="_GoBack"/>
      <w:bookmarkEnd w:id="2"/>
    </w:p>
    <w:p w14:paraId="3C59C71B">
      <w:pPr>
        <w:pStyle w:val="4"/>
        <w:spacing w:line="400" w:lineRule="exact"/>
        <w:ind w:firstLine="480"/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2.如认为表中部分品类的参考单价明显偏高或偏低，请单独列出并说明理由，可附市场渠道价格截图或同类项目成交数据作为佐证。采购人将在设定正式最高限价时综合考虑。供应商报价时应自行将服务成本分摊至各产品单价中。</w:t>
      </w:r>
    </w:p>
    <w:p w14:paraId="16E1543E">
      <w:pPr>
        <w:pStyle w:val="4"/>
        <w:spacing w:line="400" w:lineRule="exact"/>
        <w:ind w:firstLine="480"/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t>3.报价应包含为完成本项目全部服务内容所需的一切费用，包括但不限于：驻点人员工资及社保、7×24小时值班费用、中转库房租赁及运营费用、配送运输费用、维修工具及耗材费用、退换货及售后成本、管理费、利润、税金等。供应商在填报产品单价时，应已充分考虑上述全部成本，采购人不再另行支付任何服务费用。</w:t>
      </w:r>
    </w:p>
    <w:p w14:paraId="6A10C544">
      <w:pP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bCs/>
          <w:sz w:val="28"/>
          <w:szCs w:val="28"/>
          <w:highlight w:val="none"/>
          <w:lang w:val="en-US" w:eastAsia="zh-CN"/>
        </w:rPr>
        <w:br w:type="page"/>
      </w:r>
    </w:p>
    <w:tbl>
      <w:tblPr>
        <w:tblStyle w:val="7"/>
        <w:tblW w:w="9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8"/>
        <w:gridCol w:w="6127"/>
      </w:tblGrid>
      <w:tr w14:paraId="30A8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9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CF9AE">
            <w:pPr>
              <w:spacing w:after="156" w:afterLines="50" w:line="240" w:lineRule="auto"/>
              <w:jc w:val="center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eastAsia="zh-CN" w:bidi="ar"/>
                <w14:ligatures w14:val="none"/>
              </w:rPr>
              <w:t>厂商基本信息表</w:t>
            </w:r>
          </w:p>
        </w:tc>
      </w:tr>
      <w:tr w14:paraId="72AF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1D849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产品相关产业发展情况（请详述全国产业情况及本公司发展情况）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8E88F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文字描述</w:t>
            </w:r>
          </w:p>
          <w:p w14:paraId="29486E67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1.全国情况：</w:t>
            </w:r>
          </w:p>
          <w:p w14:paraId="7BD26CED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2.本公司情况：</w:t>
            </w:r>
          </w:p>
        </w:tc>
      </w:tr>
      <w:tr w14:paraId="0C295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8F535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产品市场供给情况（简述本公司年供给情况，且另附佐证材料）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40DBA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文字描述</w:t>
            </w:r>
          </w:p>
        </w:tc>
      </w:tr>
      <w:tr w14:paraId="299D8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6FD2A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同类产品成交情况（进三年的成交情况，且另附佐证材料）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E5089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文字描述</w:t>
            </w:r>
          </w:p>
        </w:tc>
      </w:tr>
      <w:tr w14:paraId="537B9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990E1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公司企业类型（另附佐证材料）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4267E">
            <w:pPr>
              <w:spacing w:after="156" w:afterLines="50" w:line="240" w:lineRule="auto"/>
              <w:jc w:val="both"/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大型企业（）中型企业（）小型企业（）微型企业（）监狱企业（）其他</w:t>
            </w:r>
            <w:r>
              <w:rPr>
                <w:rFonts w:ascii="Calibri" w:hAnsi="Calibri" w:eastAsia="宋体" w:cs="Times New Roman"/>
                <w:color w:val="000000"/>
                <w:kern w:val="2"/>
                <w:sz w:val="24"/>
                <w:szCs w:val="24"/>
                <w:lang w:eastAsia="zh-CN" w:bidi="ar-SA"/>
                <w14:ligatures w14:val="none"/>
              </w:rPr>
              <w:t>注：“是”打√</w:t>
            </w:r>
          </w:p>
        </w:tc>
      </w:tr>
    </w:tbl>
    <w:p w14:paraId="6F618132">
      <w:pPr>
        <w:spacing w:after="0" w:line="360" w:lineRule="auto"/>
        <w:jc w:val="right"/>
        <w:rPr>
          <w:rFonts w:ascii="仿宋_GB2312" w:hAnsi="仿宋_GB2312" w:eastAsia="仿宋_GB2312" w:cs="Times New Roman"/>
          <w:b/>
          <w:color w:val="000000"/>
          <w:kern w:val="2"/>
          <w:sz w:val="24"/>
          <w:szCs w:val="24"/>
          <w:lang w:eastAsia="zh-CN" w:bidi="ar-SA"/>
          <w14:ligatures w14:val="none"/>
        </w:rPr>
      </w:pPr>
    </w:p>
    <w:p w14:paraId="26007F0E">
      <w:pPr>
        <w:spacing w:after="0" w:line="360" w:lineRule="auto"/>
        <w:jc w:val="right"/>
        <w:rPr>
          <w:rFonts w:ascii="仿宋_GB2312" w:hAnsi="仿宋_GB2312" w:eastAsia="仿宋_GB2312" w:cs="Times New Roman"/>
          <w:b/>
          <w:color w:val="000000"/>
          <w:kern w:val="2"/>
          <w:sz w:val="24"/>
          <w:szCs w:val="24"/>
          <w:lang w:eastAsia="zh-CN" w:bidi="ar-SA"/>
          <w14:ligatures w14:val="none"/>
        </w:rPr>
      </w:pPr>
      <w:r>
        <w:rPr>
          <w:rFonts w:hint="eastAsia" w:ascii="仿宋_GB2312" w:hAnsi="仿宋_GB2312" w:eastAsia="仿宋_GB2312" w:cs="Times New Roman"/>
          <w:b/>
          <w:color w:val="000000"/>
          <w:kern w:val="2"/>
          <w:sz w:val="24"/>
          <w:szCs w:val="24"/>
          <w:lang w:eastAsia="zh-CN" w:bidi="ar-SA"/>
          <w14:ligatures w14:val="none"/>
        </w:rPr>
        <w:t>厂家（商）：盖公章</w:t>
      </w:r>
    </w:p>
    <w:p w14:paraId="20A781A8">
      <w:pPr>
        <w:spacing w:after="156" w:afterLines="50" w:line="240" w:lineRule="auto"/>
        <w:jc w:val="right"/>
        <w:rPr>
          <w:rFonts w:ascii="Calibri" w:hAnsi="Calibri" w:eastAsia="宋体" w:cs="Times New Roman"/>
          <w:color w:val="000000"/>
          <w:kern w:val="2"/>
          <w:sz w:val="24"/>
          <w:szCs w:val="24"/>
          <w:lang w:eastAsia="zh-CN" w:bidi="ar-SA"/>
          <w14:ligatures w14:val="none"/>
        </w:rPr>
      </w:pPr>
      <w:r>
        <w:rPr>
          <w:rFonts w:hint="eastAsia" w:ascii="仿宋_GB2312" w:hAnsi="仿宋_GB2312" w:eastAsia="仿宋_GB2312" w:cs="Times New Roman"/>
          <w:b/>
          <w:color w:val="000000"/>
          <w:kern w:val="2"/>
          <w:sz w:val="28"/>
          <w:szCs w:val="24"/>
          <w:lang w:eastAsia="zh-CN" w:bidi="ar-SA"/>
          <w14:ligatures w14:val="none"/>
        </w:rPr>
        <w:t>日期：   年   月   日</w:t>
      </w:r>
    </w:p>
    <w:p w14:paraId="1CFECA68">
      <w:pPr>
        <w:spacing w:after="0" w:line="240" w:lineRule="auto"/>
        <w:jc w:val="both"/>
        <w:rPr>
          <w:rFonts w:ascii="Calibri" w:hAnsi="Calibri" w:eastAsia="宋体" w:cs="Times New Roman"/>
          <w:color w:val="000000"/>
          <w:kern w:val="2"/>
          <w:sz w:val="24"/>
          <w:szCs w:val="24"/>
          <w:lang w:eastAsia="zh-CN" w:bidi="ar-SA"/>
          <w14:ligatures w14:val="none"/>
        </w:rPr>
      </w:pPr>
    </w:p>
    <w:p w14:paraId="21CD93AF">
      <w:pPr>
        <w:pStyle w:val="4"/>
        <w:spacing w:line="400" w:lineRule="exact"/>
        <w:ind w:firstLine="480"/>
        <w:rPr>
          <w:rFonts w:hint="default" w:ascii="仿宋" w:hAnsi="仿宋" w:eastAsia="仿宋"/>
          <w:bCs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56696"/>
    <w:rsid w:val="2BC421F0"/>
    <w:rsid w:val="39DB7F18"/>
    <w:rsid w:val="4BC92A64"/>
    <w:rsid w:val="4FC87212"/>
    <w:rsid w:val="64ED3F6C"/>
    <w:rsid w:val="66DB4127"/>
    <w:rsid w:val="6C47790B"/>
    <w:rsid w:val="70A97237"/>
    <w:rsid w:val="72C03697"/>
    <w:rsid w:val="77E13544"/>
    <w:rsid w:val="7F76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200" w:firstLineChars="200"/>
    </w:p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font3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41"/>
    <w:qFormat/>
    <w:uiPriority w:val="0"/>
    <w:rPr>
      <w:rFonts w:hint="default" w:ascii="Times New Roman" w:hAnsi="Times New Roman" w:cs="Times New Roman"/>
      <w:b/>
      <w:bCs/>
      <w:color w:val="0D0D0D"/>
      <w:sz w:val="24"/>
      <w:szCs w:val="24"/>
      <w:u w:val="none"/>
    </w:rPr>
  </w:style>
  <w:style w:type="character" w:customStyle="1" w:styleId="12">
    <w:name w:val="font61"/>
    <w:qFormat/>
    <w:uiPriority w:val="0"/>
    <w:rPr>
      <w:rFonts w:hint="eastAsia" w:ascii="宋体" w:hAnsi="宋体" w:eastAsia="宋体" w:cs="宋体"/>
      <w:b/>
      <w:bCs/>
      <w:color w:val="0D0D0D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1239</Words>
  <Characters>1261</Characters>
  <Lines>0</Lines>
  <Paragraphs>0</Paragraphs>
  <TotalTime>2</TotalTime>
  <ScaleCrop>false</ScaleCrop>
  <LinksUpToDate>false</LinksUpToDate>
  <CharactersWithSpaces>1261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2026-09-08T08:30:00Z</dcterms:created>
  <dc:creator>FHS</dc:creator>
  <cp:lastModifiedBy>陈柯岚</cp:lastModifiedBy>
  <dcterms:modified xsi:type="dcterms:W3CDTF">2026-09-16T06:35:56Z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936B7AA1344F429A819D1E6479687FFB_13</vt:lpwstr>
  </property>
  <property fmtid="{D5CDD505-2E9C-101B-9397-08002B2CF9AE}" pid="4" name="KSOTemplateDocerSaveRecord">
    <vt:lpwstr>eyJoZGlkIjoiNzFlMjMwZGJkMDk0NjRmNTA4MmJkNjU5M2Y3ZjRhZmEiLCJ1c2VySWQiOiIxMDEwNTk2NjIzIn0=</vt:lpwstr>
  </property>
</Properties>
</file>