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AF1DEB">
      <w:pPr>
        <w:spacing w:line="640" w:lineRule="exact"/>
        <w:jc w:val="center"/>
        <w:rPr>
          <w:rFonts w:hint="eastAsia" w:ascii="宋体" w:hAnsi="宋体" w:eastAsia="宋体" w:cs="宋体"/>
          <w:color w:val="auto"/>
          <w:sz w:val="28"/>
          <w:szCs w:val="28"/>
        </w:rPr>
      </w:pPr>
      <w:bookmarkStart w:id="38" w:name="_GoBack"/>
      <w:r>
        <w:rPr>
          <w:rFonts w:hint="eastAsia" w:ascii="宋体" w:hAnsi="宋体" w:eastAsia="宋体" w:cs="宋体"/>
          <w:b/>
          <w:color w:val="auto"/>
          <w:sz w:val="44"/>
          <w:szCs w:val="44"/>
        </w:rPr>
        <w:t>移动护理质量管理及敏感指标系统建设项目参数需求</w:t>
      </w:r>
      <w:bookmarkEnd w:id="38"/>
    </w:p>
    <w:p w14:paraId="63EBF15C">
      <w:pPr>
        <w:spacing w:before="380" w:after="140" w:line="288" w:lineRule="auto"/>
        <w:ind w:firstLine="723" w:firstLineChars="200"/>
        <w:jc w:val="left"/>
        <w:outlineLvl w:val="0"/>
        <w:rPr>
          <w:rFonts w:hint="eastAsia" w:ascii="宋体" w:hAnsi="宋体" w:eastAsia="宋体" w:cs="宋体"/>
          <w:b/>
          <w:color w:val="auto"/>
          <w:sz w:val="36"/>
          <w:szCs w:val="36"/>
        </w:rPr>
      </w:pPr>
      <w:bookmarkStart w:id="0" w:name="heading_0"/>
      <w:r>
        <w:rPr>
          <w:rFonts w:hint="eastAsia" w:ascii="宋体" w:hAnsi="宋体" w:eastAsia="宋体" w:cs="宋体"/>
          <w:b/>
          <w:color w:val="auto"/>
          <w:sz w:val="36"/>
          <w:szCs w:val="36"/>
        </w:rPr>
        <w:t>一、建设背景</w:t>
      </w:r>
    </w:p>
    <w:p w14:paraId="54968478">
      <w:pPr>
        <w:spacing w:line="288" w:lineRule="auto"/>
        <w:ind w:firstLine="360" w:firstLineChars="150"/>
        <w:rPr>
          <w:color w:val="auto"/>
          <w:sz w:val="24"/>
          <w:szCs w:val="24"/>
        </w:rPr>
      </w:pPr>
      <w:r>
        <w:rPr>
          <w:rFonts w:hint="eastAsia"/>
          <w:color w:val="auto"/>
          <w:sz w:val="24"/>
          <w:szCs w:val="24"/>
        </w:rPr>
        <w:t>依据国家2022版护理敏感指标规范及质控要求，医院护理管理需数字化升级，实现标准化质控与合规上报。</w:t>
      </w:r>
    </w:p>
    <w:p w14:paraId="7EC3E750">
      <w:pPr>
        <w:spacing w:line="288" w:lineRule="auto"/>
        <w:ind w:firstLine="360" w:firstLineChars="150"/>
        <w:rPr>
          <w:color w:val="auto"/>
          <w:sz w:val="24"/>
          <w:szCs w:val="24"/>
        </w:rPr>
      </w:pPr>
      <w:r>
        <w:rPr>
          <w:rFonts w:hint="eastAsia"/>
          <w:color w:val="auto"/>
          <w:sz w:val="24"/>
          <w:szCs w:val="24"/>
        </w:rPr>
        <w:t>医院传统人工护理质控模式存在流程零散、数据失真、整改无闭环等问题，敏感指标人工填报误差大、无智能预警，无法满足质控管理及上报需求。</w:t>
      </w:r>
    </w:p>
    <w:p w14:paraId="0D89EE5E">
      <w:pPr>
        <w:spacing w:line="288" w:lineRule="auto"/>
        <w:ind w:firstLine="360" w:firstLineChars="150"/>
        <w:rPr>
          <w:color w:val="auto"/>
          <w:sz w:val="24"/>
          <w:szCs w:val="24"/>
        </w:rPr>
      </w:pPr>
      <w:r>
        <w:rPr>
          <w:rFonts w:hint="eastAsia"/>
          <w:color w:val="auto"/>
          <w:sz w:val="24"/>
          <w:szCs w:val="24"/>
        </w:rPr>
        <w:t>为补齐护理信息化短板，规范质控与指标管理，特建设本系统，实现护理质量精细化、智能化管控。</w:t>
      </w:r>
    </w:p>
    <w:p w14:paraId="685424CF">
      <w:pPr>
        <w:spacing w:before="380" w:after="140" w:line="288" w:lineRule="auto"/>
        <w:ind w:firstLine="723" w:firstLineChars="200"/>
        <w:jc w:val="left"/>
        <w:outlineLvl w:val="0"/>
        <w:rPr>
          <w:rFonts w:hint="eastAsia" w:ascii="宋体" w:hAnsi="宋体" w:eastAsia="宋体" w:cs="宋体"/>
          <w:b/>
          <w:color w:val="auto"/>
          <w:sz w:val="36"/>
          <w:szCs w:val="36"/>
        </w:rPr>
      </w:pPr>
      <w:r>
        <w:rPr>
          <w:rFonts w:hint="eastAsia" w:ascii="宋体" w:hAnsi="宋体" w:eastAsia="宋体" w:cs="宋体"/>
          <w:b/>
          <w:color w:val="auto"/>
          <w:sz w:val="36"/>
          <w:szCs w:val="36"/>
        </w:rPr>
        <w:t>二、建设目标</w:t>
      </w:r>
    </w:p>
    <w:p w14:paraId="517076E6">
      <w:pPr>
        <w:spacing w:line="288" w:lineRule="auto"/>
        <w:ind w:firstLine="480" w:firstLineChars="200"/>
        <w:rPr>
          <w:color w:val="auto"/>
          <w:sz w:val="24"/>
          <w:szCs w:val="24"/>
        </w:rPr>
      </w:pPr>
      <w:r>
        <w:rPr>
          <w:rFonts w:hint="eastAsia"/>
          <w:color w:val="auto"/>
          <w:sz w:val="24"/>
          <w:szCs w:val="24"/>
        </w:rPr>
        <w:t>本项目搭建一体化护理质控与敏感指标平台，替代传统人工模式，实现质控标准化、指标规范化、分析智能化、整改闭环化，核心目标如下：</w:t>
      </w:r>
    </w:p>
    <w:p w14:paraId="0E5FF541">
      <w:pPr>
        <w:spacing w:line="288" w:lineRule="auto"/>
        <w:ind w:firstLine="480" w:firstLineChars="200"/>
        <w:rPr>
          <w:color w:val="auto"/>
          <w:sz w:val="24"/>
          <w:szCs w:val="24"/>
        </w:rPr>
      </w:pPr>
      <w:r>
        <w:rPr>
          <w:rFonts w:hint="eastAsia"/>
          <w:color w:val="auto"/>
          <w:sz w:val="24"/>
          <w:szCs w:val="24"/>
        </w:rPr>
        <w:t>1. 构建全流程移动护理质控体系，提升质控管理效率</w:t>
      </w:r>
    </w:p>
    <w:p w14:paraId="564517D2">
      <w:pPr>
        <w:spacing w:line="288" w:lineRule="auto"/>
        <w:ind w:firstLine="480" w:firstLineChars="200"/>
        <w:rPr>
          <w:color w:val="auto"/>
          <w:sz w:val="24"/>
          <w:szCs w:val="24"/>
        </w:rPr>
      </w:pPr>
      <w:r>
        <w:rPr>
          <w:rFonts w:hint="eastAsia"/>
          <w:color w:val="auto"/>
          <w:sz w:val="24"/>
          <w:szCs w:val="24"/>
        </w:rPr>
        <w:t>搭建移动端三级质控体系，实现质控全流程数字化管控，规范流程、提升质控效率。</w:t>
      </w:r>
    </w:p>
    <w:p w14:paraId="38743023">
      <w:pPr>
        <w:spacing w:line="288" w:lineRule="auto"/>
        <w:ind w:firstLine="480" w:firstLineChars="200"/>
        <w:rPr>
          <w:color w:val="auto"/>
          <w:sz w:val="24"/>
          <w:szCs w:val="24"/>
        </w:rPr>
      </w:pPr>
      <w:r>
        <w:rPr>
          <w:rFonts w:hint="eastAsia"/>
          <w:color w:val="auto"/>
          <w:sz w:val="24"/>
          <w:szCs w:val="24"/>
        </w:rPr>
        <w:t>2. 实现护理敏感指标标准化管控，满足国家上报要求</w:t>
      </w:r>
    </w:p>
    <w:p w14:paraId="60AC4FF4">
      <w:pPr>
        <w:spacing w:line="288" w:lineRule="auto"/>
        <w:ind w:firstLine="480" w:firstLineChars="200"/>
        <w:rPr>
          <w:color w:val="auto"/>
          <w:sz w:val="24"/>
          <w:szCs w:val="24"/>
        </w:rPr>
      </w:pPr>
      <w:r>
        <w:rPr>
          <w:rFonts w:hint="eastAsia"/>
          <w:color w:val="auto"/>
          <w:sz w:val="24"/>
          <w:szCs w:val="24"/>
        </w:rPr>
        <w:t>对接院内业务系统，自动采集核算敏感指标，适配国家规范，保障数据精准合规上报。</w:t>
      </w:r>
    </w:p>
    <w:p w14:paraId="2D9FAC7E">
      <w:pPr>
        <w:spacing w:line="288" w:lineRule="auto"/>
        <w:ind w:firstLine="480" w:firstLineChars="200"/>
        <w:rPr>
          <w:color w:val="auto"/>
          <w:sz w:val="24"/>
          <w:szCs w:val="24"/>
        </w:rPr>
      </w:pPr>
      <w:r>
        <w:rPr>
          <w:rFonts w:hint="eastAsia"/>
          <w:color w:val="auto"/>
          <w:sz w:val="24"/>
          <w:szCs w:val="24"/>
        </w:rPr>
        <w:t>3. 打造智能化数据分析与预警能力，支撑质量持续改进</w:t>
      </w:r>
    </w:p>
    <w:p w14:paraId="198A06A3">
      <w:pPr>
        <w:spacing w:line="288" w:lineRule="auto"/>
        <w:ind w:firstLine="480" w:firstLineChars="200"/>
        <w:rPr>
          <w:color w:val="auto"/>
          <w:sz w:val="24"/>
          <w:szCs w:val="24"/>
        </w:rPr>
      </w:pPr>
      <w:r>
        <w:rPr>
          <w:rFonts w:hint="eastAsia"/>
          <w:color w:val="auto"/>
          <w:sz w:val="24"/>
          <w:szCs w:val="24"/>
        </w:rPr>
        <w:t>依托智能分析与预警功能，精准识别质控短板，构建闭环管理体系，助力质量持续改进。</w:t>
      </w:r>
    </w:p>
    <w:p w14:paraId="254ADAC5">
      <w:pPr>
        <w:spacing w:line="288" w:lineRule="auto"/>
        <w:ind w:firstLine="480" w:firstLineChars="200"/>
        <w:rPr>
          <w:color w:val="auto"/>
          <w:sz w:val="24"/>
          <w:szCs w:val="24"/>
        </w:rPr>
      </w:pPr>
      <w:r>
        <w:rPr>
          <w:rFonts w:hint="eastAsia"/>
          <w:color w:val="auto"/>
          <w:sz w:val="24"/>
          <w:szCs w:val="24"/>
        </w:rPr>
        <w:t>4. 规范护理评价与数据填报流程，实现数据全程可追溯</w:t>
      </w:r>
    </w:p>
    <w:p w14:paraId="5EFFB37D">
      <w:pPr>
        <w:spacing w:line="288" w:lineRule="auto"/>
        <w:ind w:firstLine="480" w:firstLineChars="200"/>
        <w:rPr>
          <w:color w:val="auto"/>
          <w:sz w:val="24"/>
          <w:szCs w:val="24"/>
        </w:rPr>
      </w:pPr>
      <w:r>
        <w:rPr>
          <w:rFonts w:hint="eastAsia"/>
          <w:color w:val="auto"/>
          <w:sz w:val="24"/>
          <w:szCs w:val="24"/>
        </w:rPr>
        <w:t>规范护理评价与数据填报，支持权限化统计查询，实现全流程操作可追溯、管理合规可控。</w:t>
      </w:r>
    </w:p>
    <w:p w14:paraId="7EFA8EF4">
      <w:pPr>
        <w:spacing w:line="288" w:lineRule="auto"/>
        <w:ind w:firstLine="480" w:firstLineChars="200"/>
        <w:rPr>
          <w:color w:val="auto"/>
          <w:sz w:val="24"/>
          <w:szCs w:val="24"/>
        </w:rPr>
      </w:pPr>
      <w:r>
        <w:rPr>
          <w:rFonts w:hint="eastAsia"/>
          <w:color w:val="auto"/>
          <w:sz w:val="24"/>
          <w:szCs w:val="24"/>
        </w:rPr>
        <w:t>5.性能要求</w:t>
      </w:r>
    </w:p>
    <w:p w14:paraId="408A1035">
      <w:pPr>
        <w:spacing w:line="288" w:lineRule="auto"/>
        <w:ind w:firstLine="480" w:firstLineChars="200"/>
        <w:rPr>
          <w:color w:val="auto"/>
          <w:sz w:val="24"/>
          <w:szCs w:val="24"/>
        </w:rPr>
      </w:pPr>
      <w:r>
        <w:rPr>
          <w:color w:val="auto"/>
          <w:sz w:val="24"/>
          <w:szCs w:val="24"/>
        </w:rPr>
        <w:t>系统并发量＞1000人次、延迟低于</w:t>
      </w:r>
      <w:r>
        <w:rPr>
          <w:rFonts w:hint="eastAsia"/>
          <w:color w:val="auto"/>
          <w:sz w:val="24"/>
          <w:szCs w:val="24"/>
        </w:rPr>
        <w:t>2.5</w:t>
      </w:r>
      <w:r>
        <w:rPr>
          <w:color w:val="auto"/>
          <w:sz w:val="24"/>
          <w:szCs w:val="24"/>
        </w:rPr>
        <w:t>s，保障全院多用户同时在线操作流畅、稳定高效。同时系统需满足快速报表生成、长期数据留存、高运行稳定性等性能标准，支撑业务合规、高效、持续运转。</w:t>
      </w:r>
    </w:p>
    <w:p w14:paraId="27237F33">
      <w:pPr>
        <w:spacing w:line="288" w:lineRule="auto"/>
        <w:ind w:firstLine="480" w:firstLineChars="200"/>
        <w:rPr>
          <w:color w:val="auto"/>
          <w:sz w:val="24"/>
          <w:szCs w:val="24"/>
        </w:rPr>
      </w:pPr>
    </w:p>
    <w:p w14:paraId="0008B897">
      <w:pPr>
        <w:spacing w:before="380" w:after="140" w:line="288" w:lineRule="auto"/>
        <w:ind w:firstLine="723" w:firstLineChars="200"/>
        <w:jc w:val="left"/>
        <w:outlineLvl w:val="0"/>
        <w:rPr>
          <w:rFonts w:hint="eastAsia" w:ascii="宋体" w:hAnsi="宋体" w:eastAsia="宋体" w:cs="宋体"/>
          <w:b/>
          <w:color w:val="auto"/>
          <w:sz w:val="36"/>
          <w:szCs w:val="36"/>
        </w:rPr>
      </w:pPr>
      <w:r>
        <w:rPr>
          <w:rFonts w:hint="eastAsia" w:ascii="宋体" w:hAnsi="宋体" w:eastAsia="宋体" w:cs="宋体"/>
          <w:b/>
          <w:color w:val="auto"/>
          <w:sz w:val="36"/>
          <w:szCs w:val="36"/>
        </w:rPr>
        <w:t>三、建设要求</w:t>
      </w:r>
    </w:p>
    <w:p w14:paraId="694E9F2D">
      <w:pPr>
        <w:spacing w:before="380" w:after="140" w:line="288" w:lineRule="auto"/>
        <w:ind w:firstLine="482" w:firstLineChars="200"/>
        <w:jc w:val="left"/>
        <w:outlineLvl w:val="0"/>
        <w:rPr>
          <w:rFonts w:hint="eastAsia" w:ascii="宋体" w:hAnsi="宋体" w:eastAsia="宋体" w:cs="宋体"/>
          <w:color w:val="auto"/>
          <w:sz w:val="24"/>
          <w:szCs w:val="24"/>
        </w:rPr>
      </w:pPr>
      <w:r>
        <w:rPr>
          <w:rFonts w:hint="eastAsia" w:ascii="宋体" w:hAnsi="宋体" w:eastAsia="宋体" w:cs="宋体"/>
          <w:b/>
          <w:color w:val="auto"/>
          <w:sz w:val="24"/>
          <w:szCs w:val="24"/>
        </w:rPr>
        <w:t>1 产品清单</w:t>
      </w:r>
      <w:bookmarkEnd w:id="0"/>
    </w:p>
    <w:p w14:paraId="32EEBBED">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本项目包含两套核心软件产品，具体如下：</w:t>
      </w:r>
    </w:p>
    <w:p w14:paraId="5C39E43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1）移动护理质控</w:t>
      </w:r>
    </w:p>
    <w:p w14:paraId="1E410D38">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2）敏感指标系统</w:t>
      </w:r>
    </w:p>
    <w:p w14:paraId="7A44AFE4">
      <w:pPr>
        <w:spacing w:before="380" w:after="140" w:line="288" w:lineRule="auto"/>
        <w:ind w:firstLine="482" w:firstLineChars="200"/>
        <w:jc w:val="left"/>
        <w:outlineLvl w:val="0"/>
        <w:rPr>
          <w:rFonts w:hint="eastAsia" w:ascii="宋体" w:hAnsi="宋体" w:eastAsia="宋体" w:cs="宋体"/>
          <w:b/>
          <w:color w:val="auto"/>
          <w:sz w:val="24"/>
          <w:szCs w:val="24"/>
        </w:rPr>
      </w:pPr>
      <w:bookmarkStart w:id="1" w:name="heading_74"/>
      <w:r>
        <w:rPr>
          <w:rFonts w:hint="eastAsia" w:ascii="宋体" w:hAnsi="宋体" w:eastAsia="宋体" w:cs="宋体"/>
          <w:b/>
          <w:color w:val="auto"/>
          <w:sz w:val="24"/>
          <w:szCs w:val="24"/>
        </w:rPr>
        <w:t>2移动护理质量管理</w:t>
      </w:r>
    </w:p>
    <w:p w14:paraId="2665A9B4">
      <w:pPr>
        <w:spacing w:before="300" w:after="120" w:line="288" w:lineRule="auto"/>
        <w:ind w:firstLine="482" w:firstLineChars="200"/>
        <w:jc w:val="left"/>
        <w:outlineLvl w:val="1"/>
        <w:rPr>
          <w:rFonts w:hint="eastAsia" w:ascii="宋体" w:hAnsi="宋体" w:eastAsia="宋体" w:cs="宋体"/>
          <w:color w:val="auto"/>
          <w:sz w:val="24"/>
          <w:szCs w:val="24"/>
        </w:rPr>
      </w:pPr>
      <w:bookmarkStart w:id="2" w:name="heading_1"/>
      <w:r>
        <w:rPr>
          <w:rFonts w:hint="eastAsia" w:ascii="宋体" w:hAnsi="宋体" w:eastAsia="宋体" w:cs="宋体"/>
          <w:b/>
          <w:color w:val="auto"/>
          <w:sz w:val="24"/>
          <w:szCs w:val="24"/>
        </w:rPr>
        <w:t>2.1 用户登录</w:t>
      </w:r>
      <w:bookmarkEnd w:id="2"/>
    </w:p>
    <w:p w14:paraId="67DAC98F">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 支持院内统一的用户账号体系。</w:t>
      </w:r>
    </w:p>
    <w:p w14:paraId="62CEF9B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登录检测是否有最新版本，可自动下载更新。</w:t>
      </w:r>
    </w:p>
    <w:p w14:paraId="6773FF7B">
      <w:pPr>
        <w:spacing w:before="300" w:after="120" w:line="288" w:lineRule="auto"/>
        <w:ind w:firstLine="482" w:firstLineChars="200"/>
        <w:jc w:val="left"/>
        <w:outlineLvl w:val="1"/>
        <w:rPr>
          <w:rFonts w:hint="eastAsia" w:ascii="宋体" w:hAnsi="宋体" w:eastAsia="宋体" w:cs="宋体"/>
          <w:color w:val="auto"/>
          <w:sz w:val="24"/>
          <w:szCs w:val="24"/>
        </w:rPr>
      </w:pPr>
      <w:bookmarkStart w:id="3" w:name="heading_2"/>
      <w:r>
        <w:rPr>
          <w:rFonts w:hint="eastAsia" w:ascii="宋体" w:hAnsi="宋体" w:eastAsia="宋体" w:cs="宋体"/>
          <w:b/>
          <w:color w:val="auto"/>
          <w:sz w:val="24"/>
          <w:szCs w:val="24"/>
        </w:rPr>
        <w:t>2.2 首页</w:t>
      </w:r>
      <w:bookmarkEnd w:id="3"/>
    </w:p>
    <w:p w14:paraId="4F56040C">
      <w:pPr>
        <w:spacing w:before="260" w:after="120" w:line="288" w:lineRule="auto"/>
        <w:ind w:firstLine="482" w:firstLineChars="200"/>
        <w:jc w:val="left"/>
        <w:outlineLvl w:val="2"/>
        <w:rPr>
          <w:rFonts w:hint="eastAsia" w:ascii="宋体" w:hAnsi="宋体" w:eastAsia="宋体" w:cs="宋体"/>
          <w:color w:val="auto"/>
          <w:sz w:val="24"/>
          <w:szCs w:val="24"/>
        </w:rPr>
      </w:pPr>
      <w:bookmarkStart w:id="4" w:name="heading_3"/>
      <w:r>
        <w:rPr>
          <w:rFonts w:hint="eastAsia" w:ascii="宋体" w:hAnsi="宋体" w:eastAsia="宋体" w:cs="宋体"/>
          <w:b/>
          <w:color w:val="auto"/>
          <w:sz w:val="24"/>
          <w:szCs w:val="24"/>
        </w:rPr>
        <w:t>2.2.1 任务进度</w:t>
      </w:r>
      <w:bookmarkEnd w:id="4"/>
    </w:p>
    <w:p w14:paraId="5BC4921E">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 获取已发布的质控计划，支持查询任意月份下，不同质控级别、质控状态、质控类型的质控任务进度。质控级别包含院级、科级、病区；质控状态包含未检查、已保存、已检查；质控类型包含质控检查、特殊科室检查、病区自查、科护士长督查、季度质控检查。</w:t>
      </w:r>
    </w:p>
    <w:p w14:paraId="72AC416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支持任务模式和病区模式两种呈现形式：任务模式以检查项目为维度，查阅该检查项目下，统计周期内不同质控级别、质控状态、质控类型涉及的病区检查进度；病区模式以病区为维度，查阅该病区，统计周期内不同质控级别、质控状态、质控类型涉及的检查项目检查进度。</w:t>
      </w:r>
    </w:p>
    <w:p w14:paraId="7943ED7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 质控级别、质控状态、质控类型以不同颜色或标签形式区分显示。</w:t>
      </w:r>
    </w:p>
    <w:p w14:paraId="7F96EABF">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 基于检索的检查任务，可查阅详细的检查结果或开展检查。</w:t>
      </w:r>
    </w:p>
    <w:p w14:paraId="35B991C7">
      <w:pPr>
        <w:spacing w:before="260" w:after="120" w:line="288" w:lineRule="auto"/>
        <w:ind w:firstLine="482" w:firstLineChars="200"/>
        <w:jc w:val="left"/>
        <w:outlineLvl w:val="2"/>
        <w:rPr>
          <w:rFonts w:hint="eastAsia" w:ascii="宋体" w:hAnsi="宋体" w:eastAsia="宋体" w:cs="宋体"/>
          <w:color w:val="auto"/>
          <w:sz w:val="24"/>
          <w:szCs w:val="24"/>
        </w:rPr>
      </w:pPr>
      <w:bookmarkStart w:id="5" w:name="heading_4"/>
      <w:r>
        <w:rPr>
          <w:rFonts w:hint="eastAsia" w:ascii="宋体" w:hAnsi="宋体" w:eastAsia="宋体" w:cs="宋体"/>
          <w:b/>
          <w:color w:val="auto"/>
          <w:sz w:val="24"/>
          <w:szCs w:val="24"/>
        </w:rPr>
        <w:t>2.2.2 日程安排</w:t>
      </w:r>
      <w:bookmarkEnd w:id="5"/>
    </w:p>
    <w:p w14:paraId="5F499C7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 获取已发布的针对夜查房、周末巡查、节假日巡查的排班计划，以日历表的形式展示夜查房、周末巡查、节假日巡查的日程安排。</w:t>
      </w:r>
    </w:p>
    <w:p w14:paraId="21CDB60F">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支持查询任意月份下，夜查房、周末巡查、节假日巡查的日程安排。</w:t>
      </w:r>
    </w:p>
    <w:p w14:paraId="724C629E">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 夜查房、周末巡查、节假日巡查以不同颜色或标签形式区分显示，点击可查阅当日详细的检查内容，包括质控类型、质控级别、检查人、检查时间、检查病区、检查项目。</w:t>
      </w:r>
    </w:p>
    <w:p w14:paraId="24F88E9B">
      <w:pPr>
        <w:spacing w:before="300" w:after="120" w:line="288" w:lineRule="auto"/>
        <w:ind w:firstLine="482" w:firstLineChars="200"/>
        <w:jc w:val="left"/>
        <w:outlineLvl w:val="1"/>
        <w:rPr>
          <w:rFonts w:hint="eastAsia" w:ascii="宋体" w:hAnsi="宋体" w:eastAsia="宋体" w:cs="宋体"/>
          <w:color w:val="auto"/>
          <w:sz w:val="24"/>
          <w:szCs w:val="24"/>
        </w:rPr>
      </w:pPr>
      <w:bookmarkStart w:id="6" w:name="heading_5"/>
      <w:r>
        <w:rPr>
          <w:rFonts w:hint="eastAsia" w:ascii="宋体" w:hAnsi="宋体" w:eastAsia="宋体" w:cs="宋体"/>
          <w:b/>
          <w:color w:val="auto"/>
          <w:sz w:val="24"/>
          <w:szCs w:val="24"/>
        </w:rPr>
        <w:t>2.3 护理质控</w:t>
      </w:r>
      <w:bookmarkEnd w:id="6"/>
    </w:p>
    <w:p w14:paraId="6CD3615F">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 支持查阅任意月份的质控检查、特殊科室检查、病区自查、科护士长督查、季度质控检查、夜查房、周末巡查、节假日巡查检查信息，包括检查状态、检查级别、检查病区、检查项目、得分、检查人、检查日期。</w:t>
      </w:r>
    </w:p>
    <w:p w14:paraId="01FD4D5A">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支持根据月份、检查状态、检查级别、检查病区、检查项目筛选数据。</w:t>
      </w:r>
    </w:p>
    <w:p w14:paraId="73D3FD1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 支持检查结果的查阅与记录，提供暂存和提交功能，自动计算检查得分。</w:t>
      </w:r>
    </w:p>
    <w:p w14:paraId="3881F06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 支持按比例、按分值两种计分规则。</w:t>
      </w:r>
    </w:p>
    <w:p w14:paraId="3E757222">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 支持键盘自定义（按需）开发。</w:t>
      </w:r>
    </w:p>
    <w:p w14:paraId="01E089D9">
      <w:pPr>
        <w:spacing w:before="300" w:after="120" w:line="288" w:lineRule="auto"/>
        <w:ind w:firstLine="482" w:firstLineChars="200"/>
        <w:jc w:val="left"/>
        <w:outlineLvl w:val="1"/>
        <w:rPr>
          <w:rFonts w:hint="eastAsia" w:ascii="宋体" w:hAnsi="宋体" w:eastAsia="宋体" w:cs="宋体"/>
          <w:color w:val="auto"/>
          <w:sz w:val="24"/>
          <w:szCs w:val="24"/>
        </w:rPr>
      </w:pPr>
      <w:bookmarkStart w:id="7" w:name="heading_6"/>
      <w:r>
        <w:rPr>
          <w:rFonts w:hint="eastAsia" w:ascii="宋体" w:hAnsi="宋体" w:eastAsia="宋体" w:cs="宋体"/>
          <w:b/>
          <w:color w:val="auto"/>
          <w:sz w:val="24"/>
          <w:szCs w:val="24"/>
        </w:rPr>
        <w:t>2.4 统计分析</w:t>
      </w:r>
      <w:bookmarkEnd w:id="7"/>
    </w:p>
    <w:p w14:paraId="1D61AE3B">
      <w:pPr>
        <w:spacing w:before="260" w:after="120" w:line="288" w:lineRule="auto"/>
        <w:ind w:firstLine="482" w:firstLineChars="200"/>
        <w:jc w:val="left"/>
        <w:outlineLvl w:val="3"/>
        <w:rPr>
          <w:rFonts w:hint="eastAsia" w:ascii="宋体" w:hAnsi="宋体" w:eastAsia="宋体" w:cs="宋体"/>
          <w:color w:val="auto"/>
          <w:sz w:val="24"/>
          <w:szCs w:val="24"/>
        </w:rPr>
      </w:pPr>
      <w:bookmarkStart w:id="8" w:name="heading_7"/>
      <w:r>
        <w:rPr>
          <w:rFonts w:hint="eastAsia" w:ascii="宋体" w:hAnsi="宋体" w:eastAsia="宋体" w:cs="宋体"/>
          <w:b/>
          <w:color w:val="auto"/>
          <w:sz w:val="24"/>
          <w:szCs w:val="24"/>
        </w:rPr>
        <w:t>2.4.1 质控任务</w:t>
      </w:r>
      <w:bookmarkEnd w:id="8"/>
    </w:p>
    <w:p w14:paraId="1E0FDBEC">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 支持以卡片形式展示质控检查、特殊科室检查、病区自查、科护士长督查、季度质控检查、夜查房、周末巡查、节假日巡查检查任务的执行进度统计，包括：未检查、已保存、已检查、院级、科级、病区。</w:t>
      </w:r>
    </w:p>
    <w:p w14:paraId="55EBC9A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支持按照检查范围、用户权限、时间范围统计质控任务执行情况。</w:t>
      </w:r>
    </w:p>
    <w:p w14:paraId="502063E3">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 基于统计结果，可查阅统计明细，包括：检查状态、检查级别、检查项目、检查病区、得分、检查人、检查日期。</w:t>
      </w:r>
    </w:p>
    <w:p w14:paraId="6FA12EFF">
      <w:pPr>
        <w:spacing w:before="260" w:after="120" w:line="288" w:lineRule="auto"/>
        <w:ind w:firstLine="482" w:firstLineChars="200"/>
        <w:jc w:val="left"/>
        <w:outlineLvl w:val="3"/>
        <w:rPr>
          <w:rFonts w:hint="eastAsia" w:ascii="宋体" w:hAnsi="宋体" w:eastAsia="宋体" w:cs="宋体"/>
          <w:color w:val="auto"/>
          <w:sz w:val="24"/>
          <w:szCs w:val="24"/>
        </w:rPr>
      </w:pPr>
      <w:bookmarkStart w:id="9" w:name="heading_8"/>
      <w:r>
        <w:rPr>
          <w:rFonts w:hint="eastAsia" w:ascii="宋体" w:hAnsi="宋体" w:eastAsia="宋体" w:cs="宋体"/>
          <w:b/>
          <w:color w:val="auto"/>
          <w:sz w:val="24"/>
          <w:szCs w:val="24"/>
        </w:rPr>
        <w:t>2.4.2 质控结果</w:t>
      </w:r>
      <w:bookmarkEnd w:id="9"/>
    </w:p>
    <w:p w14:paraId="172A7393">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 支持按照检查范围、用户权限、时间范围统计质控结果情况。</w:t>
      </w:r>
    </w:p>
    <w:p w14:paraId="3B539A13">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质控结果支持排行榜和成绩分布两种形式展示：排行榜以检查项目为维度，按照得分排名展示各病区检查结果；成绩分布以检查项目为维度，按照90以上、90~80、80~70、70~60、60以下的成绩区间，展示成绩分布情况。</w:t>
      </w:r>
    </w:p>
    <w:p w14:paraId="087C67F4">
      <w:pPr>
        <w:spacing w:before="260" w:after="120" w:line="288" w:lineRule="auto"/>
        <w:ind w:firstLine="482" w:firstLineChars="200"/>
        <w:jc w:val="left"/>
        <w:outlineLvl w:val="3"/>
        <w:rPr>
          <w:rFonts w:hint="eastAsia" w:ascii="宋体" w:hAnsi="宋体" w:eastAsia="宋体" w:cs="宋体"/>
          <w:color w:val="auto"/>
          <w:sz w:val="24"/>
          <w:szCs w:val="24"/>
        </w:rPr>
      </w:pPr>
      <w:bookmarkStart w:id="10" w:name="heading_9"/>
      <w:r>
        <w:rPr>
          <w:rFonts w:hint="eastAsia" w:ascii="宋体" w:hAnsi="宋体" w:eastAsia="宋体" w:cs="宋体"/>
          <w:b/>
          <w:color w:val="auto"/>
          <w:sz w:val="24"/>
          <w:szCs w:val="24"/>
        </w:rPr>
        <w:t>2.4.3 质控问题</w:t>
      </w:r>
      <w:bookmarkEnd w:id="10"/>
    </w:p>
    <w:p w14:paraId="3D9395BD">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 支持按照检查范围、用户权限、时间范围统计质控问题汇总情况。</w:t>
      </w:r>
    </w:p>
    <w:p w14:paraId="452F8198">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支持查阅各病区统计范围下所存在各项质控问题。</w:t>
      </w:r>
    </w:p>
    <w:p w14:paraId="492AE9A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 支持按照各检查项目，展示三级检查指标统计范围下错误率由高到低的情况。</w:t>
      </w:r>
    </w:p>
    <w:p w14:paraId="70BB9ACE">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 支持以列表和图表两种形式展示，图表支持放大缩小查阅。</w:t>
      </w:r>
    </w:p>
    <w:p w14:paraId="4AEB127C">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 支持以检查项目为维度，按照错误率排名展示各病区检查结果。</w:t>
      </w:r>
    </w:p>
    <w:p w14:paraId="66C65641">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 支持以检查项目为维度，展示三级检查指标统计范围下整改率由高到低的情况，包含已解决、待处理、已处理、上诉、驳回、忽略状态。</w:t>
      </w:r>
    </w:p>
    <w:p w14:paraId="4AB0B51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 支持以检查项目为维度，展示各病区三级检查指标统计范围下整改率由高到低的情况，包含已解决、待处理、已处理、上诉、驳回、忽略状态。</w:t>
      </w:r>
    </w:p>
    <w:p w14:paraId="43F08448">
      <w:pPr>
        <w:spacing w:before="300" w:after="120" w:line="288" w:lineRule="auto"/>
        <w:ind w:firstLine="482" w:firstLineChars="200"/>
        <w:jc w:val="left"/>
        <w:outlineLvl w:val="1"/>
        <w:rPr>
          <w:rFonts w:hint="eastAsia" w:ascii="宋体" w:hAnsi="宋体" w:eastAsia="宋体" w:cs="宋体"/>
          <w:b/>
          <w:color w:val="auto"/>
          <w:sz w:val="24"/>
          <w:szCs w:val="24"/>
        </w:rPr>
      </w:pPr>
      <w:r>
        <w:rPr>
          <w:rFonts w:hint="eastAsia" w:ascii="宋体" w:hAnsi="宋体" w:eastAsia="宋体" w:cs="宋体"/>
          <w:b/>
          <w:color w:val="auto"/>
          <w:sz w:val="24"/>
          <w:szCs w:val="24"/>
        </w:rPr>
        <w:t>2.5终端适配兼容性</w:t>
      </w:r>
    </w:p>
    <w:p w14:paraId="29E481E9">
      <w:pPr>
        <w:widowControl/>
        <w:spacing w:line="288" w:lineRule="auto"/>
        <w:ind w:firstLine="480" w:firstLineChars="200"/>
        <w:jc w:val="left"/>
        <w:rPr>
          <w:color w:val="auto"/>
          <w:sz w:val="24"/>
          <w:szCs w:val="24"/>
        </w:rPr>
      </w:pPr>
      <w:r>
        <w:rPr>
          <w:rFonts w:hint="eastAsia"/>
          <w:color w:val="auto"/>
          <w:sz w:val="24"/>
          <w:szCs w:val="24"/>
        </w:rPr>
        <w:t>系统移动端需采用小程序形态部署，无需下载安装，可轻量化即用、便捷高效适配医院日常移动质控作业场景。</w:t>
      </w:r>
    </w:p>
    <w:p w14:paraId="6FD14128">
      <w:pPr>
        <w:spacing w:before="380" w:after="140" w:line="288" w:lineRule="auto"/>
        <w:ind w:firstLine="482" w:firstLineChars="200"/>
        <w:jc w:val="left"/>
        <w:outlineLvl w:val="0"/>
        <w:rPr>
          <w:rFonts w:hint="eastAsia" w:ascii="宋体" w:hAnsi="宋体" w:eastAsia="宋体" w:cs="宋体"/>
          <w:color w:val="auto"/>
          <w:sz w:val="24"/>
          <w:szCs w:val="24"/>
        </w:rPr>
      </w:pPr>
      <w:r>
        <w:rPr>
          <w:rFonts w:hint="eastAsia" w:ascii="宋体" w:hAnsi="宋体" w:eastAsia="宋体" w:cs="宋体"/>
          <w:b/>
          <w:color w:val="auto"/>
          <w:sz w:val="24"/>
          <w:szCs w:val="24"/>
        </w:rPr>
        <w:t>3 敏感指标系统技术参数</w:t>
      </w:r>
      <w:bookmarkEnd w:id="1"/>
    </w:p>
    <w:p w14:paraId="7376D0A7">
      <w:pPr>
        <w:spacing w:before="320" w:after="120" w:line="288" w:lineRule="auto"/>
        <w:ind w:firstLine="482" w:firstLineChars="200"/>
        <w:jc w:val="left"/>
        <w:outlineLvl w:val="1"/>
        <w:rPr>
          <w:rFonts w:hint="eastAsia" w:ascii="宋体" w:hAnsi="宋体" w:eastAsia="宋体" w:cs="宋体"/>
          <w:color w:val="auto"/>
          <w:sz w:val="24"/>
          <w:szCs w:val="24"/>
        </w:rPr>
      </w:pPr>
      <w:bookmarkStart w:id="11" w:name="heading_75"/>
      <w:r>
        <w:rPr>
          <w:rFonts w:hint="eastAsia" w:ascii="宋体" w:hAnsi="宋体" w:eastAsia="宋体" w:cs="宋体"/>
          <w:b/>
          <w:color w:val="auto"/>
          <w:sz w:val="24"/>
          <w:szCs w:val="24"/>
        </w:rPr>
        <w:t>3.1 总体要求</w:t>
      </w:r>
      <w:bookmarkEnd w:id="11"/>
    </w:p>
    <w:p w14:paraId="612FD860">
      <w:pPr>
        <w:spacing w:before="260" w:after="120" w:line="288" w:lineRule="auto"/>
        <w:ind w:firstLine="482" w:firstLineChars="200"/>
        <w:jc w:val="left"/>
        <w:outlineLvl w:val="3"/>
        <w:rPr>
          <w:rFonts w:hint="eastAsia" w:ascii="宋体" w:hAnsi="宋体" w:eastAsia="宋体" w:cs="宋体"/>
          <w:color w:val="auto"/>
          <w:sz w:val="24"/>
          <w:szCs w:val="24"/>
        </w:rPr>
      </w:pPr>
      <w:bookmarkStart w:id="12" w:name="heading_76"/>
      <w:r>
        <w:rPr>
          <w:rFonts w:hint="eastAsia" w:ascii="宋体" w:hAnsi="宋体" w:eastAsia="宋体" w:cs="宋体"/>
          <w:b/>
          <w:color w:val="auto"/>
          <w:sz w:val="24"/>
          <w:szCs w:val="24"/>
        </w:rPr>
        <w:t>3.1.1 平台对接与配置能力</w:t>
      </w:r>
      <w:bookmarkEnd w:id="12"/>
    </w:p>
    <w:p w14:paraId="6CB810A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建立指标数据平台，可实现与HIS系统、移动护理、护理管理、不良事件、院感系统等与护理相关系统的对接，通过指标系统的高度可配置化管理，支持数据源定义、指标的快速构建、报表模板定义等，满足护理指标数据的提取。</w:t>
      </w:r>
    </w:p>
    <w:p w14:paraId="51739825">
      <w:pPr>
        <w:spacing w:before="260" w:after="120" w:line="288" w:lineRule="auto"/>
        <w:ind w:firstLine="482" w:firstLineChars="200"/>
        <w:jc w:val="left"/>
        <w:outlineLvl w:val="3"/>
        <w:rPr>
          <w:rFonts w:hint="eastAsia" w:ascii="宋体" w:hAnsi="宋体" w:eastAsia="宋体" w:cs="宋体"/>
          <w:color w:val="auto"/>
          <w:sz w:val="24"/>
          <w:szCs w:val="24"/>
        </w:rPr>
      </w:pPr>
      <w:bookmarkStart w:id="13" w:name="heading_77"/>
      <w:r>
        <w:rPr>
          <w:rFonts w:hint="eastAsia" w:ascii="宋体" w:hAnsi="宋体" w:eastAsia="宋体" w:cs="宋体"/>
          <w:b/>
          <w:color w:val="auto"/>
          <w:sz w:val="24"/>
          <w:szCs w:val="24"/>
        </w:rPr>
        <w:t>3.1.2 国家质控平台适配上报</w:t>
      </w:r>
      <w:bookmarkEnd w:id="13"/>
    </w:p>
    <w:p w14:paraId="78A7C85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基于国家护理质控平台上报与《护理敏感质量指标检测基本数据集实施指南（2022版）》要求，自动提取敏感指标数据，生成并输出符合国家护理质控平台上报要求的敏感指标数据与模板，通过导入实现国家平台数据的上报。</w:t>
      </w:r>
    </w:p>
    <w:p w14:paraId="2A9AD15A">
      <w:pPr>
        <w:spacing w:before="320" w:after="120" w:line="288" w:lineRule="auto"/>
        <w:ind w:firstLine="482" w:firstLineChars="200"/>
        <w:jc w:val="left"/>
        <w:outlineLvl w:val="1"/>
        <w:rPr>
          <w:rFonts w:hint="eastAsia" w:ascii="宋体" w:hAnsi="宋体" w:eastAsia="宋体" w:cs="宋体"/>
          <w:color w:val="auto"/>
          <w:sz w:val="24"/>
          <w:szCs w:val="24"/>
        </w:rPr>
      </w:pPr>
      <w:bookmarkStart w:id="14" w:name="heading_78"/>
      <w:r>
        <w:rPr>
          <w:rFonts w:hint="eastAsia" w:ascii="宋体" w:hAnsi="宋体" w:eastAsia="宋体" w:cs="宋体"/>
          <w:b/>
          <w:color w:val="auto"/>
          <w:sz w:val="24"/>
          <w:szCs w:val="24"/>
        </w:rPr>
        <w:t>3.2 指标管理</w:t>
      </w:r>
      <w:bookmarkEnd w:id="14"/>
    </w:p>
    <w:p w14:paraId="4161A684">
      <w:pPr>
        <w:spacing w:before="260" w:after="120" w:line="288" w:lineRule="auto"/>
        <w:ind w:firstLine="482" w:firstLineChars="200"/>
        <w:jc w:val="left"/>
        <w:outlineLvl w:val="3"/>
        <w:rPr>
          <w:rFonts w:hint="eastAsia" w:ascii="宋体" w:hAnsi="宋体" w:eastAsia="宋体" w:cs="宋体"/>
          <w:color w:val="auto"/>
          <w:sz w:val="24"/>
          <w:szCs w:val="24"/>
        </w:rPr>
      </w:pPr>
      <w:bookmarkStart w:id="15" w:name="heading_79"/>
      <w:r>
        <w:rPr>
          <w:rFonts w:hint="eastAsia" w:ascii="宋体" w:hAnsi="宋体" w:eastAsia="宋体" w:cs="宋体"/>
          <w:b/>
          <w:color w:val="auto"/>
          <w:sz w:val="24"/>
          <w:szCs w:val="24"/>
        </w:rPr>
        <w:t>3.2.1 元素定义</w:t>
      </w:r>
      <w:bookmarkEnd w:id="15"/>
    </w:p>
    <w:p w14:paraId="746BCA86">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支持定义指标数据源，根据敏感指标的拆解，自动导入敏感指标105个数据元素定义。</w:t>
      </w:r>
    </w:p>
    <w:p w14:paraId="705A391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支持数据源检索查阅、数据添加。</w:t>
      </w:r>
    </w:p>
    <w:p w14:paraId="5BF33AEA">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数据源定义支持定义：元素分类、计算方式、数据来源等要素的定义。</w:t>
      </w:r>
    </w:p>
    <w:p w14:paraId="73562C20">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数据来源支持系统自动抓取、用户填报两种模式，以满足不同医院信息化发展情况下的敏感指标数据的提取。</w:t>
      </w:r>
    </w:p>
    <w:p w14:paraId="2B66828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支持单一数据来源与复合数据来源的定义。</w:t>
      </w:r>
    </w:p>
    <w:p w14:paraId="6DB4BBCD">
      <w:pPr>
        <w:spacing w:before="260" w:after="120" w:line="288" w:lineRule="auto"/>
        <w:ind w:firstLine="482" w:firstLineChars="200"/>
        <w:jc w:val="left"/>
        <w:outlineLvl w:val="3"/>
        <w:rPr>
          <w:rFonts w:hint="eastAsia" w:ascii="宋体" w:hAnsi="宋体" w:eastAsia="宋体" w:cs="宋体"/>
          <w:color w:val="auto"/>
          <w:sz w:val="24"/>
          <w:szCs w:val="24"/>
        </w:rPr>
      </w:pPr>
      <w:bookmarkStart w:id="16" w:name="heading_80"/>
      <w:r>
        <w:rPr>
          <w:rFonts w:hint="eastAsia" w:ascii="宋体" w:hAnsi="宋体" w:eastAsia="宋体" w:cs="宋体"/>
          <w:b/>
          <w:color w:val="auto"/>
          <w:sz w:val="24"/>
          <w:szCs w:val="24"/>
        </w:rPr>
        <w:t>3.2.2 指标定义</w:t>
      </w:r>
      <w:bookmarkEnd w:id="16"/>
    </w:p>
    <w:p w14:paraId="0921876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支持指标的定义构建，根据敏感指标的要求，自动导入12大项指标，27项分指标。</w:t>
      </w:r>
    </w:p>
    <w:p w14:paraId="087B4E2A">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支持指标定义的检索查阅、数据添加。</w:t>
      </w:r>
    </w:p>
    <w:p w14:paraId="3E0B3998">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支持定义指标的级别、指标单位、指标精确值、指标趋势、运算类型、指标说明等。</w:t>
      </w:r>
    </w:p>
    <w:p w14:paraId="3F0190E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支持指标关联相关评审条文的定义，满足评审时指标输出的要求。</w:t>
      </w:r>
    </w:p>
    <w:p w14:paraId="743E00B3">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指标分子分母的定义支持符合数据源定义。</w:t>
      </w:r>
    </w:p>
    <w:p w14:paraId="03BAD611">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支持指标阈值的定义，包括指标目标、指标上限、指标下限定义，参考标准值支持去年同期值、上月同期值、自定义标准值。</w:t>
      </w:r>
    </w:p>
    <w:p w14:paraId="26CA7466">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预警机制，支持在敏感指标统计查询界面增加上下限颜色区分，支持中在护理管理工作台的进展通知中增加提醒，可根据指标不同状态给予不同权限管理人员发出预警，包括指标停用、超过指标上下限、超过上线限±75%。</w:t>
      </w:r>
    </w:p>
    <w:p w14:paraId="7374C341">
      <w:pPr>
        <w:spacing w:before="260" w:after="120" w:line="288" w:lineRule="auto"/>
        <w:ind w:firstLine="482" w:firstLineChars="200"/>
        <w:jc w:val="left"/>
        <w:outlineLvl w:val="3"/>
        <w:rPr>
          <w:rFonts w:hint="eastAsia" w:ascii="宋体" w:hAnsi="宋体" w:eastAsia="宋体" w:cs="宋体"/>
          <w:color w:val="auto"/>
          <w:sz w:val="24"/>
          <w:szCs w:val="24"/>
        </w:rPr>
      </w:pPr>
      <w:bookmarkStart w:id="17" w:name="heading_81"/>
      <w:r>
        <w:rPr>
          <w:rFonts w:hint="eastAsia" w:ascii="宋体" w:hAnsi="宋体" w:eastAsia="宋体" w:cs="宋体"/>
          <w:b/>
          <w:color w:val="auto"/>
          <w:sz w:val="24"/>
          <w:szCs w:val="24"/>
        </w:rPr>
        <w:t>3.2.3 模板定义</w:t>
      </w:r>
      <w:bookmarkEnd w:id="17"/>
    </w:p>
    <w:p w14:paraId="7E5EBFFC">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支持根据填报、上报需求进行模板的定制，根据敏感指标的要求，自动导出符合国家护理质控平台要求的模板定义，导出后可进行人工核对校验。</w:t>
      </w:r>
    </w:p>
    <w:p w14:paraId="78FA0D8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支持定义模板的检索查阅、模板添加。</w:t>
      </w:r>
    </w:p>
    <w:p w14:paraId="55075A6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支持模板定义模板用途、模板名称、统计项目、项目排序、适用范围、状态。</w:t>
      </w:r>
    </w:p>
    <w:p w14:paraId="68C050E8">
      <w:pPr>
        <w:spacing w:before="320" w:after="120" w:line="288" w:lineRule="auto"/>
        <w:ind w:firstLine="482" w:firstLineChars="200"/>
        <w:jc w:val="left"/>
        <w:outlineLvl w:val="1"/>
        <w:rPr>
          <w:rFonts w:hint="eastAsia" w:ascii="宋体" w:hAnsi="宋体" w:eastAsia="宋体" w:cs="宋体"/>
          <w:color w:val="auto"/>
          <w:sz w:val="24"/>
          <w:szCs w:val="24"/>
        </w:rPr>
      </w:pPr>
      <w:bookmarkStart w:id="18" w:name="heading_82"/>
      <w:r>
        <w:rPr>
          <w:rFonts w:hint="eastAsia" w:ascii="宋体" w:hAnsi="宋体" w:eastAsia="宋体" w:cs="宋体"/>
          <w:b/>
          <w:color w:val="auto"/>
          <w:sz w:val="24"/>
          <w:szCs w:val="24"/>
        </w:rPr>
        <w:t>3.3 护理评价</w:t>
      </w:r>
      <w:bookmarkEnd w:id="18"/>
    </w:p>
    <w:p w14:paraId="65C0BB63">
      <w:pPr>
        <w:spacing w:before="260" w:after="120" w:line="288" w:lineRule="auto"/>
        <w:ind w:firstLine="482" w:firstLineChars="200"/>
        <w:jc w:val="left"/>
        <w:outlineLvl w:val="3"/>
        <w:rPr>
          <w:rFonts w:hint="eastAsia" w:ascii="宋体" w:hAnsi="宋体" w:eastAsia="宋体" w:cs="宋体"/>
          <w:color w:val="auto"/>
          <w:sz w:val="24"/>
          <w:szCs w:val="24"/>
        </w:rPr>
      </w:pPr>
      <w:bookmarkStart w:id="19" w:name="heading_83"/>
      <w:r>
        <w:rPr>
          <w:rFonts w:hint="eastAsia" w:ascii="宋体" w:hAnsi="宋体" w:eastAsia="宋体" w:cs="宋体"/>
          <w:b/>
          <w:color w:val="auto"/>
          <w:sz w:val="24"/>
          <w:szCs w:val="24"/>
        </w:rPr>
        <w:t>3.3.1 护理评价功能</w:t>
      </w:r>
      <w:bookmarkEnd w:id="19"/>
    </w:p>
    <w:p w14:paraId="5C4EAFF6">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护士可以依据预期目标的达成情况进行预期目标的评价操作，可以通过评价结果来选择完成诊断重新开始新诊断，或者停止诊断。</w:t>
      </w:r>
    </w:p>
    <w:p w14:paraId="59187690">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同时支持对护理问题进行评价，或者对护理目标进行评价。</w:t>
      </w:r>
    </w:p>
    <w:p w14:paraId="6E17BD1F">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记录评价结果：解决、未解决、部分解决。</w:t>
      </w:r>
    </w:p>
    <w:p w14:paraId="61E7B208">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护理问题的解决与否，与相关目标评价相互关联。</w:t>
      </w:r>
    </w:p>
    <w:p w14:paraId="377AFC3A">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支持批量进行评价。</w:t>
      </w:r>
    </w:p>
    <w:p w14:paraId="12B57EE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同时支持对护理问题进行评价，或者对护理目标进行评价。</w:t>
      </w:r>
    </w:p>
    <w:p w14:paraId="1B85F53D">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记录评价结果：解决、未解决、部分解决。</w:t>
      </w:r>
    </w:p>
    <w:p w14:paraId="656C99B5">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护理问题的解决与否，与相关目标评价相互关联。</w:t>
      </w:r>
    </w:p>
    <w:p w14:paraId="4E60AB3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支持批量进行评价。</w:t>
      </w:r>
    </w:p>
    <w:p w14:paraId="35D99199">
      <w:pPr>
        <w:spacing w:before="320" w:after="120" w:line="288" w:lineRule="auto"/>
        <w:ind w:firstLine="482" w:firstLineChars="200"/>
        <w:jc w:val="left"/>
        <w:outlineLvl w:val="1"/>
        <w:rPr>
          <w:rFonts w:hint="eastAsia" w:ascii="宋体" w:hAnsi="宋体" w:eastAsia="宋体" w:cs="宋体"/>
          <w:color w:val="auto"/>
          <w:sz w:val="24"/>
          <w:szCs w:val="24"/>
        </w:rPr>
      </w:pPr>
      <w:bookmarkStart w:id="20" w:name="heading_84"/>
      <w:r>
        <w:rPr>
          <w:rFonts w:hint="eastAsia" w:ascii="宋体" w:hAnsi="宋体" w:eastAsia="宋体" w:cs="宋体"/>
          <w:b/>
          <w:color w:val="auto"/>
          <w:sz w:val="24"/>
          <w:szCs w:val="24"/>
        </w:rPr>
        <w:t>3.4 数据填报</w:t>
      </w:r>
      <w:bookmarkEnd w:id="20"/>
    </w:p>
    <w:p w14:paraId="67293C27">
      <w:pPr>
        <w:spacing w:before="260" w:after="120" w:line="288" w:lineRule="auto"/>
        <w:ind w:firstLine="482" w:firstLineChars="200"/>
        <w:jc w:val="left"/>
        <w:outlineLvl w:val="3"/>
        <w:rPr>
          <w:rFonts w:hint="eastAsia" w:ascii="宋体" w:hAnsi="宋体" w:eastAsia="宋体" w:cs="宋体"/>
          <w:color w:val="auto"/>
          <w:sz w:val="24"/>
          <w:szCs w:val="24"/>
        </w:rPr>
      </w:pPr>
      <w:bookmarkStart w:id="21" w:name="heading_85"/>
      <w:r>
        <w:rPr>
          <w:rFonts w:hint="eastAsia" w:ascii="宋体" w:hAnsi="宋体" w:eastAsia="宋体" w:cs="宋体"/>
          <w:b/>
          <w:color w:val="auto"/>
          <w:sz w:val="24"/>
          <w:szCs w:val="24"/>
        </w:rPr>
        <w:t>3.4.1 数据上报</w:t>
      </w:r>
      <w:bookmarkEnd w:id="21"/>
    </w:p>
    <w:p w14:paraId="01E26475">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根据数据来源以及模板定义，支持数据的在线填报，上报模板包括：</w:t>
      </w:r>
    </w:p>
    <w:p w14:paraId="1FD5AB5C">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护士数量配置模板：项目包括：本季度实际开放床位数、季初全院执业护士总人数、季末全院执业护士总人数、季初住院病区执业护士总人数、季末住院病区执业护士总人数、本季度白班责任护士数、本季度白班护理患者数、本季度夜班责任护士数、本季度夜班护理患者数、本季度住院病区执业护士实际上班小时数、本季度住院患者实际占用床日数、季初在院患者数、本季度新入院患者总数、特级护理患者占用床日数、 一级护理患者占用床日数、二级护理患者占用床日数、三级护理患者占用床日数。</w:t>
      </w:r>
    </w:p>
    <w:p w14:paraId="266F1E3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人力资源结构--职称统计模板：项目包括：季初护士（初级）人数、季末护士（初级）人数、季初护师人数、季末护师人数、季初主管护师人数、季末主管护师人数、季初副主任护师人数、季末副主任护师人数、季初主任护师人数、季末主任护师人数</w:t>
      </w:r>
    </w:p>
    <w:p w14:paraId="1202E278">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人力资源结构--学历统计模板：项目包括：季初中专护士人数、季末中专护士人数、季初大专护士人数、季末大专护士人数、季初本科护士人数、季末本科护士人数、季初硕士护士人数、季末硕士护士人数、季初博士护士人数、季末博士护士人数。</w:t>
      </w:r>
    </w:p>
    <w:p w14:paraId="5D8C5082">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4、人力资源结构--工作年限统计模板：项目包括：季初&lt;1年资护士人数、季末&lt;1年资护士人数、季初1≤y&lt;2年资护士人数、季末1≤y&lt;2年资护士人数、季初2≤y&lt;5年资护士人数、季末2≤y&lt;5年资护士人数、季初5≤y&lt;10年资护士人数、季末5≤y&lt;10年资护士人数、季初10≤y&lt;20年资护士人数、季末10≤y&lt;20年资护士人数、季初≥20年资护士人数、季末≥20年资护士人数。</w:t>
      </w:r>
    </w:p>
    <w:p w14:paraId="68E7D77C">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5、离职统计模板：项目包括：执业护士离职总人数、护士（初级）离职人数、护师离职人数、主管护师离职人数、副主任护师离职人数、主任护师离职人数、中专护士离职人数、大专护士离职人数、本科护士离职人数、硕士护士离职人数、博士护士离职人数、&lt;1年资护士离职人数、1≤y&lt;2年资护士离职人数、2≤y&lt;5年资护士离职人数、5≤y&lt;10年资护士离职人数、10≤y&lt;20年资护士离职人数、≥20年资护士离职人数</w:t>
      </w:r>
    </w:p>
    <w:p w14:paraId="3405978A">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6、身体约束统计模板：项目包括：住院患者身体约束日数。</w:t>
      </w:r>
    </w:p>
    <w:p w14:paraId="2ECD7390">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导管非计划拔统计模板：项目包括：气管导管非计划拔管例次数、气管导管留置总日数、CVC非计划拔管例次数、CVC留置总日数、PICC非计划拔管例次数、PICC留置总日数、导尿管非计划拔管发生例次数、导尿管留置总日数、胃肠管（经口鼻）非计划拔管发生例次数、胃肠管（经口鼻）留置总日数。</w:t>
      </w:r>
    </w:p>
    <w:p w14:paraId="0DCB9452">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8、导管相关性感染统计模板：项目包括：PICC相关血流感染发生例次数、CVC相关血流感染发生例次数、VAP发生例次数、有创机械通气的总日数、导尿管相关尿路感染（CAUTI)发生例次数</w:t>
      </w:r>
    </w:p>
    <w:p w14:paraId="730300C2">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9、跌倒统计模板：项目包括：住院患者跌倒无伤害（0级）例次数、住院患者跌倒轻度伤害（1级）例次数、住院患者跌倒中度伤害（2级）例次数、住院患者跌倒重度伤害（3级）例次数、住院患者跌倒死亡例数。</w:t>
      </w:r>
    </w:p>
    <w:p w14:paraId="6C76854D">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10、院内压力性损伤统计模板：项目包括：住院患者2期及以上院内压力性损伤（包括粘膜压力性损伤）新发病例数。</w:t>
      </w:r>
    </w:p>
    <w:p w14:paraId="3B4B4645">
      <w:pPr>
        <w:spacing w:before="260" w:after="120" w:line="288" w:lineRule="auto"/>
        <w:ind w:firstLine="482" w:firstLineChars="200"/>
        <w:jc w:val="left"/>
        <w:outlineLvl w:val="3"/>
        <w:rPr>
          <w:rFonts w:hint="eastAsia" w:ascii="宋体" w:hAnsi="宋体" w:eastAsia="宋体" w:cs="宋体"/>
          <w:color w:val="auto"/>
          <w:sz w:val="24"/>
          <w:szCs w:val="24"/>
        </w:rPr>
      </w:pPr>
      <w:bookmarkStart w:id="22" w:name="heading_86"/>
      <w:r>
        <w:rPr>
          <w:rFonts w:hint="eastAsia" w:ascii="宋体" w:hAnsi="宋体" w:eastAsia="宋体" w:cs="宋体"/>
          <w:b/>
          <w:color w:val="auto"/>
          <w:sz w:val="24"/>
          <w:szCs w:val="24"/>
        </w:rPr>
        <w:t>3.4.2 填报查询</w:t>
      </w:r>
      <w:bookmarkEnd w:id="22"/>
    </w:p>
    <w:p w14:paraId="74A8A82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根据用户权限，自定义统计范围，查阅临床各科室填报数据结果。</w:t>
      </w:r>
    </w:p>
    <w:p w14:paraId="52FD938B">
      <w:pPr>
        <w:spacing w:before="320" w:after="120" w:line="288" w:lineRule="auto"/>
        <w:ind w:firstLine="482" w:firstLineChars="200"/>
        <w:jc w:val="left"/>
        <w:outlineLvl w:val="1"/>
        <w:rPr>
          <w:rFonts w:hint="eastAsia" w:ascii="宋体" w:hAnsi="宋体" w:eastAsia="宋体" w:cs="宋体"/>
          <w:color w:val="auto"/>
          <w:sz w:val="24"/>
          <w:szCs w:val="24"/>
        </w:rPr>
      </w:pPr>
      <w:bookmarkStart w:id="23" w:name="heading_87"/>
      <w:r>
        <w:rPr>
          <w:rFonts w:hint="eastAsia" w:ascii="宋体" w:hAnsi="宋体" w:eastAsia="宋体" w:cs="宋体"/>
          <w:b/>
          <w:color w:val="auto"/>
          <w:sz w:val="24"/>
          <w:szCs w:val="24"/>
        </w:rPr>
        <w:t>3.5 指标统计</w:t>
      </w:r>
      <w:bookmarkEnd w:id="23"/>
    </w:p>
    <w:p w14:paraId="74A750F3">
      <w:pPr>
        <w:spacing w:before="260" w:after="120" w:line="288" w:lineRule="auto"/>
        <w:ind w:firstLine="482" w:firstLineChars="200"/>
        <w:jc w:val="left"/>
        <w:outlineLvl w:val="3"/>
        <w:rPr>
          <w:rFonts w:hint="eastAsia" w:ascii="宋体" w:hAnsi="宋体" w:eastAsia="宋体" w:cs="宋体"/>
          <w:color w:val="auto"/>
          <w:sz w:val="24"/>
          <w:szCs w:val="24"/>
        </w:rPr>
      </w:pPr>
      <w:bookmarkStart w:id="24" w:name="heading_88"/>
      <w:r>
        <w:rPr>
          <w:rFonts w:hint="eastAsia" w:ascii="宋体" w:hAnsi="宋体" w:eastAsia="宋体" w:cs="宋体"/>
          <w:b/>
          <w:color w:val="auto"/>
          <w:sz w:val="24"/>
          <w:szCs w:val="24"/>
        </w:rPr>
        <w:t>3.5.1 指标基础展示与预警</w:t>
      </w:r>
      <w:bookmarkEnd w:id="24"/>
    </w:p>
    <w:p w14:paraId="1C4927A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支持提供满足国家护理质控平台上报要求的敏感指标数据的提取。</w:t>
      </w:r>
      <w:r>
        <w:rPr>
          <w:rFonts w:hint="eastAsia" w:ascii="宋体" w:hAnsi="宋体" w:eastAsia="宋体" w:cs="宋体"/>
          <w:color w:val="auto"/>
          <w:sz w:val="24"/>
          <w:szCs w:val="24"/>
        </w:rPr>
        <w:t>支持高出阈值、低于阈值以不同颜色分别警示展示</w:t>
      </w:r>
      <w:r>
        <w:rPr>
          <w:rFonts w:hint="eastAsia" w:ascii="宋体" w:hAnsi="宋体" w:eastAsia="宋体" w:cs="宋体"/>
          <w:color w:val="auto"/>
          <w:sz w:val="24"/>
          <w:szCs w:val="24"/>
        </w:rPr>
        <w:t>。根据用户权限可实时查阅管辖范围内的敏感指标结果。</w:t>
      </w:r>
    </w:p>
    <w:p w14:paraId="5B0653C0">
      <w:pPr>
        <w:spacing w:before="260" w:after="120" w:line="288" w:lineRule="auto"/>
        <w:ind w:firstLine="482" w:firstLineChars="200"/>
        <w:jc w:val="left"/>
        <w:outlineLvl w:val="3"/>
        <w:rPr>
          <w:rFonts w:hint="eastAsia" w:ascii="宋体" w:hAnsi="宋体" w:eastAsia="宋体" w:cs="宋体"/>
          <w:color w:val="auto"/>
          <w:sz w:val="24"/>
          <w:szCs w:val="24"/>
        </w:rPr>
      </w:pPr>
      <w:bookmarkStart w:id="25" w:name="heading_89"/>
      <w:r>
        <w:rPr>
          <w:rFonts w:hint="eastAsia" w:ascii="宋体" w:hAnsi="宋体" w:eastAsia="宋体" w:cs="宋体"/>
          <w:b/>
          <w:color w:val="auto"/>
          <w:sz w:val="24"/>
          <w:szCs w:val="24"/>
        </w:rPr>
        <w:t>3.5.2 多场景床护比统计</w:t>
      </w:r>
      <w:bookmarkEnd w:id="25"/>
    </w:p>
    <w:p w14:paraId="0346BAC6">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全院床护比：统计周期内实际开放床位与同期所配备护士人数比。</w:t>
      </w:r>
    </w:p>
    <w:p w14:paraId="7B6436A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病区床护比：统计周期内住院病房实际开放床位与同期住院病区所配备的护士人数比。</w:t>
      </w:r>
    </w:p>
    <w:p w14:paraId="376B2A0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重症医学科床护比：统计周期内重症病房实际开放床位与同期住院病区所配备的护士人数比。</w:t>
      </w:r>
    </w:p>
    <w:p w14:paraId="6B9AEB8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儿科病区床护比：统计周期内儿科病房实际开放床位与同期住院病区所配备的护士人数比。</w:t>
      </w:r>
    </w:p>
    <w:p w14:paraId="4BC25E4A">
      <w:pPr>
        <w:spacing w:before="260" w:after="120" w:line="288" w:lineRule="auto"/>
        <w:ind w:firstLine="482" w:firstLineChars="200"/>
        <w:jc w:val="left"/>
        <w:outlineLvl w:val="3"/>
        <w:rPr>
          <w:rFonts w:hint="eastAsia" w:ascii="宋体" w:hAnsi="宋体" w:eastAsia="宋体" w:cs="宋体"/>
          <w:color w:val="auto"/>
          <w:sz w:val="24"/>
          <w:szCs w:val="24"/>
        </w:rPr>
      </w:pPr>
      <w:bookmarkStart w:id="26" w:name="heading_90"/>
      <w:r>
        <w:rPr>
          <w:rFonts w:hint="eastAsia" w:ascii="宋体" w:hAnsi="宋体" w:eastAsia="宋体" w:cs="宋体"/>
          <w:b/>
          <w:color w:val="auto"/>
          <w:sz w:val="24"/>
          <w:szCs w:val="24"/>
        </w:rPr>
        <w:t>3.5.3 护患比统计</w:t>
      </w:r>
      <w:bookmarkEnd w:id="26"/>
    </w:p>
    <w:p w14:paraId="6521F63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平均白班护患比：统计周期内住院病区白班责任护士总人数与同期住院病区白班患者总数比。</w:t>
      </w:r>
    </w:p>
    <w:p w14:paraId="66904F8D">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平均夜班护患比：统计周期内住院病区夜班责任护士总人数与同期住院病区夜班患者总数比。</w:t>
      </w:r>
    </w:p>
    <w:p w14:paraId="6FD61B3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平均每天护患比：统计周期内住院病区白班、夜班责任护士总人数与同期住院病区白班、夜班患者总数比。</w:t>
      </w:r>
    </w:p>
    <w:p w14:paraId="626D0545">
      <w:pPr>
        <w:spacing w:before="260" w:after="120" w:line="288" w:lineRule="auto"/>
        <w:ind w:firstLine="482" w:firstLineChars="200"/>
        <w:jc w:val="left"/>
        <w:outlineLvl w:val="3"/>
        <w:rPr>
          <w:rFonts w:hint="eastAsia" w:ascii="宋体" w:hAnsi="宋体" w:eastAsia="宋体" w:cs="宋体"/>
          <w:color w:val="auto"/>
          <w:sz w:val="24"/>
          <w:szCs w:val="24"/>
        </w:rPr>
      </w:pPr>
      <w:bookmarkStart w:id="27" w:name="heading_91"/>
      <w:r>
        <w:rPr>
          <w:rFonts w:hint="eastAsia" w:ascii="宋体" w:hAnsi="宋体" w:eastAsia="宋体" w:cs="宋体"/>
          <w:b/>
          <w:color w:val="auto"/>
          <w:sz w:val="24"/>
          <w:szCs w:val="24"/>
        </w:rPr>
        <w:t>3.5.4 24小时平均护理时数统计</w:t>
      </w:r>
      <w:bookmarkEnd w:id="27"/>
    </w:p>
    <w:p w14:paraId="79D2FB83">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每住院患者24小时平均护理时数：统计周期内住院病区护士上班小时总数与同期住院患者实际占用床日数比。</w:t>
      </w:r>
    </w:p>
    <w:p w14:paraId="1B1935B9">
      <w:pPr>
        <w:spacing w:before="260" w:after="120" w:line="288" w:lineRule="auto"/>
        <w:ind w:firstLine="482" w:firstLineChars="200"/>
        <w:jc w:val="left"/>
        <w:outlineLvl w:val="3"/>
        <w:rPr>
          <w:rFonts w:hint="eastAsia" w:ascii="宋体" w:hAnsi="宋体" w:eastAsia="宋体" w:cs="宋体"/>
          <w:color w:val="auto"/>
          <w:sz w:val="24"/>
          <w:szCs w:val="24"/>
        </w:rPr>
      </w:pPr>
      <w:bookmarkStart w:id="28" w:name="heading_92"/>
      <w:r>
        <w:rPr>
          <w:rFonts w:hint="eastAsia" w:ascii="宋体" w:hAnsi="宋体" w:eastAsia="宋体" w:cs="宋体"/>
          <w:b/>
          <w:color w:val="auto"/>
          <w:sz w:val="24"/>
          <w:szCs w:val="24"/>
        </w:rPr>
        <w:t>3.5.5 非计划拔管率统计</w:t>
      </w:r>
      <w:bookmarkEnd w:id="28"/>
    </w:p>
    <w:p w14:paraId="0610E85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非计划拔管率（UEX）：</w:t>
      </w:r>
    </w:p>
    <w:p w14:paraId="377D191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导尿管非计划拔管率：统计周期内导尿管非计划性拔管总次数与同期导尿管留置总日数比。</w:t>
      </w:r>
    </w:p>
    <w:p w14:paraId="150DB95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胃肠管（经口鼻）非计划拔管率：统计周期内胃肠管（经口鼻）非计划性拔管总次数与同期胃肠管（经口鼻）留置总日数比。</w:t>
      </w:r>
    </w:p>
    <w:p w14:paraId="00C2F09D">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CVC非计划拔管率：统计周期内CVC非计划性拔管总次数与同期CVC留置总日数比。</w:t>
      </w:r>
    </w:p>
    <w:p w14:paraId="05BD3CDC">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PICC非计划拔管率：统计周期内PICC非计划性拔管总次数与同期PICC留置总日数比。</w:t>
      </w:r>
    </w:p>
    <w:p w14:paraId="6D3D2D55">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气管导管非计划拔管率：统计周期内气管非计划性拔管总次数与同期气管留置总日数比。</w:t>
      </w:r>
    </w:p>
    <w:p w14:paraId="5F2CEFFA">
      <w:pPr>
        <w:spacing w:before="260" w:after="120" w:line="288" w:lineRule="auto"/>
        <w:ind w:firstLine="482" w:firstLineChars="200"/>
        <w:jc w:val="left"/>
        <w:outlineLvl w:val="3"/>
        <w:rPr>
          <w:rFonts w:hint="eastAsia" w:ascii="宋体" w:hAnsi="宋体" w:eastAsia="宋体" w:cs="宋体"/>
          <w:color w:val="auto"/>
          <w:sz w:val="24"/>
          <w:szCs w:val="24"/>
        </w:rPr>
      </w:pPr>
      <w:bookmarkStart w:id="29" w:name="heading_93"/>
      <w:r>
        <w:rPr>
          <w:rFonts w:hint="eastAsia" w:ascii="宋体" w:hAnsi="宋体" w:eastAsia="宋体" w:cs="宋体"/>
          <w:b/>
          <w:color w:val="auto"/>
          <w:sz w:val="24"/>
          <w:szCs w:val="24"/>
        </w:rPr>
        <w:t>3.5.6 导管相关感染发生率统计</w:t>
      </w:r>
      <w:bookmarkEnd w:id="29"/>
    </w:p>
    <w:p w14:paraId="755CAF82">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导管相关感染发生率：</w:t>
      </w:r>
    </w:p>
    <w:p w14:paraId="615411BF">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导尿管相关尿路感染发生率（CAUTI）：统计周期内留置导尿管患者中发生尿路感染总次数与同期患者导尿管留置总日数比。</w:t>
      </w:r>
    </w:p>
    <w:p w14:paraId="7DDAE73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CVC相关血流感染发生率：统计周期内CVC相关血液感染发生总次数与同期CVC留置总日数比。</w:t>
      </w:r>
    </w:p>
    <w:p w14:paraId="61273F71">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PICC相关血流感染发生率：统计周期内PICC相关血液感染发生总次数与同期PICC留置总日数比。</w:t>
      </w:r>
    </w:p>
    <w:p w14:paraId="6D3D7C9E">
      <w:pPr>
        <w:spacing w:before="260" w:after="120" w:line="288" w:lineRule="auto"/>
        <w:ind w:firstLine="482" w:firstLineChars="200"/>
        <w:jc w:val="left"/>
        <w:outlineLvl w:val="3"/>
        <w:rPr>
          <w:rFonts w:hint="eastAsia" w:ascii="宋体" w:hAnsi="宋体" w:eastAsia="宋体" w:cs="宋体"/>
          <w:color w:val="auto"/>
          <w:sz w:val="24"/>
          <w:szCs w:val="24"/>
        </w:rPr>
      </w:pPr>
      <w:bookmarkStart w:id="30" w:name="heading_94"/>
      <w:r>
        <w:rPr>
          <w:rFonts w:hint="eastAsia" w:ascii="宋体" w:hAnsi="宋体" w:eastAsia="宋体" w:cs="宋体"/>
          <w:b/>
          <w:color w:val="auto"/>
          <w:sz w:val="24"/>
          <w:szCs w:val="24"/>
        </w:rPr>
        <w:t>3.5.7 呼吸机相关肺炎发生率统计</w:t>
      </w:r>
      <w:bookmarkEnd w:id="30"/>
    </w:p>
    <w:p w14:paraId="36BBBE7C">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呼吸机相关肺炎发生率（VAP）：统计周期内呼吸机相关肺炎感染发生总次数与同期有创机械通气的总日数比。</w:t>
      </w:r>
    </w:p>
    <w:p w14:paraId="2D6A588A">
      <w:pPr>
        <w:spacing w:before="260" w:after="120" w:line="288" w:lineRule="auto"/>
        <w:ind w:firstLine="482" w:firstLineChars="200"/>
        <w:jc w:val="left"/>
        <w:outlineLvl w:val="3"/>
        <w:rPr>
          <w:rFonts w:hint="eastAsia" w:ascii="宋体" w:hAnsi="宋体" w:eastAsia="宋体" w:cs="宋体"/>
          <w:color w:val="auto"/>
          <w:sz w:val="24"/>
          <w:szCs w:val="24"/>
        </w:rPr>
      </w:pPr>
      <w:bookmarkStart w:id="31" w:name="heading_95"/>
      <w:r>
        <w:rPr>
          <w:rFonts w:hint="eastAsia" w:ascii="宋体" w:hAnsi="宋体" w:eastAsia="宋体" w:cs="宋体"/>
          <w:b/>
          <w:color w:val="auto"/>
          <w:sz w:val="24"/>
          <w:szCs w:val="24"/>
        </w:rPr>
        <w:t>3.5.8 住院患者身体约束率统计</w:t>
      </w:r>
      <w:bookmarkEnd w:id="31"/>
    </w:p>
    <w:p w14:paraId="56043BB0">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住院患者身体约束率：统计周期内住院患者身体约束总日数与同期住院患者实际占用床日数比。</w:t>
      </w:r>
    </w:p>
    <w:p w14:paraId="13008E78">
      <w:pPr>
        <w:spacing w:before="260" w:after="120" w:line="288" w:lineRule="auto"/>
        <w:ind w:firstLine="482" w:firstLineChars="200"/>
        <w:jc w:val="left"/>
        <w:outlineLvl w:val="3"/>
        <w:rPr>
          <w:rFonts w:hint="eastAsia" w:ascii="宋体" w:hAnsi="宋体" w:eastAsia="宋体" w:cs="宋体"/>
          <w:color w:val="auto"/>
          <w:sz w:val="24"/>
          <w:szCs w:val="24"/>
        </w:rPr>
      </w:pPr>
      <w:bookmarkStart w:id="32" w:name="heading_96"/>
      <w:r>
        <w:rPr>
          <w:rFonts w:hint="eastAsia" w:ascii="宋体" w:hAnsi="宋体" w:eastAsia="宋体" w:cs="宋体"/>
          <w:b/>
          <w:color w:val="auto"/>
          <w:sz w:val="24"/>
          <w:szCs w:val="24"/>
        </w:rPr>
        <w:t>3.5.9 住院患者跌倒相关指标统计</w:t>
      </w:r>
      <w:bookmarkEnd w:id="32"/>
    </w:p>
    <w:p w14:paraId="3316F2F6">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住院患者跌倒发生率：统计周期内住院患者发生跌倒总次数与同期住院患者实际占用床日数比。</w:t>
      </w:r>
    </w:p>
    <w:p w14:paraId="60AC9F92">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住院患者跌倒伤害率：统计周期内住院患者发生跌倒伤害总次数与同期住院患者发生跌倒总次数比。</w:t>
      </w:r>
    </w:p>
    <w:p w14:paraId="00523E2A">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住院患者跌倒伤害严重度0级（无伤害）率：统计周期内住院患者发生跌倒伤害严重度0度总次数与同期住院患者发生跌倒总次数比。</w:t>
      </w:r>
    </w:p>
    <w:p w14:paraId="404D094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住院患者跌倒伤害严重度1级率：统计周期内住院患者发生跌倒伤害严重度1度总次数与同期住院患者发生跌倒总次数比。</w:t>
      </w:r>
    </w:p>
    <w:p w14:paraId="4B80482C">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住院患者跌倒伤害严重度2级率：统计周期内住院患者发生跌倒伤害严重度2度总次数与同期住院患者发生跌倒总次数比。</w:t>
      </w:r>
    </w:p>
    <w:p w14:paraId="79A455B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住院患者跌倒伤害严重度3级率：统计周期内住院患者发生跌倒伤害严重度3度总次数与同期住院患者发生跌倒总次数比。</w:t>
      </w:r>
    </w:p>
    <w:p w14:paraId="798B52CC">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住院患者跌倒死亡率：统计周期内住院患者发生跌倒死亡总次数与同期住院患者发生跌倒总次数比。</w:t>
      </w:r>
    </w:p>
    <w:p w14:paraId="4757B10E">
      <w:pPr>
        <w:spacing w:before="260" w:after="120" w:line="288" w:lineRule="auto"/>
        <w:ind w:firstLine="482" w:firstLineChars="200"/>
        <w:jc w:val="left"/>
        <w:outlineLvl w:val="3"/>
        <w:rPr>
          <w:rFonts w:hint="eastAsia" w:ascii="宋体" w:hAnsi="宋体" w:eastAsia="宋体" w:cs="宋体"/>
          <w:color w:val="auto"/>
          <w:sz w:val="24"/>
          <w:szCs w:val="24"/>
        </w:rPr>
      </w:pPr>
      <w:bookmarkStart w:id="33" w:name="heading_97"/>
      <w:r>
        <w:rPr>
          <w:rFonts w:hint="eastAsia" w:ascii="宋体" w:hAnsi="宋体" w:eastAsia="宋体" w:cs="宋体"/>
          <w:b/>
          <w:color w:val="auto"/>
          <w:sz w:val="24"/>
          <w:szCs w:val="24"/>
        </w:rPr>
        <w:t>3.5.10 压力性损伤相关指标统计</w:t>
      </w:r>
      <w:bookmarkEnd w:id="33"/>
    </w:p>
    <w:p w14:paraId="7922D61F">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住院患者压力性损伤发生率：住院患者2期及以上院内压力性损伤发生率：统计周期内住院患者2期及以上院内压力性损伤总次数与同期住院患者总数比。</w:t>
      </w:r>
    </w:p>
    <w:p w14:paraId="185ABD66">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住院患者压力性损伤现患率：实时统计住院患者压力性损伤总例数与同期住院患者总数比。</w:t>
      </w:r>
    </w:p>
    <w:p w14:paraId="4482626B">
      <w:pPr>
        <w:spacing w:before="260" w:after="120" w:line="288" w:lineRule="auto"/>
        <w:ind w:firstLine="482" w:firstLineChars="200"/>
        <w:jc w:val="left"/>
        <w:outlineLvl w:val="3"/>
        <w:rPr>
          <w:rFonts w:hint="eastAsia" w:ascii="宋体" w:hAnsi="宋体" w:eastAsia="宋体" w:cs="宋体"/>
          <w:color w:val="auto"/>
          <w:sz w:val="24"/>
          <w:szCs w:val="24"/>
        </w:rPr>
      </w:pPr>
      <w:bookmarkStart w:id="34" w:name="heading_98"/>
      <w:r>
        <w:rPr>
          <w:rFonts w:hint="eastAsia" w:ascii="宋体" w:hAnsi="宋体" w:eastAsia="宋体" w:cs="宋体"/>
          <w:b/>
          <w:color w:val="auto"/>
          <w:sz w:val="24"/>
          <w:szCs w:val="24"/>
        </w:rPr>
        <w:t>3.5.11 不同级别护士配置统计</w:t>
      </w:r>
      <w:bookmarkEnd w:id="34"/>
    </w:p>
    <w:p w14:paraId="36136E2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不同职称护理配置：统计周期内不同职称护士总人数与同期护士总人数比，职称包括：护士、护师、主管护师、副主任护师、主任护师。</w:t>
      </w:r>
    </w:p>
    <w:p w14:paraId="2AE56FE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不同学历护士配置：统计周期内不同学历护士总人数与同期护士总人数比，学历包括：中专、大专、本科、硕士、博士。</w:t>
      </w:r>
    </w:p>
    <w:p w14:paraId="3D281BE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不同工作年限护士配置：统计周期内不同工作年限护士总人数与同期护士总人数比，工作年限包括：&lt;1年、1≤y&lt;2年资、2≤y&lt;5年资、5≤y&lt;10年资、10≤y&lt;20年资、≥20年资；</w:t>
      </w:r>
    </w:p>
    <w:p w14:paraId="4A2FC55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病区工作年限护士配置：统计周期内统计病区下不同工作年限护士总人数与同期护士总人数比，普通病房工作年限包括：&lt;1年、1≤y&lt;2年资、2≤y&lt;5年资、5≤y&lt;10年资、10≤y&lt;20年资、≥20年资；重症病房工作年限包括：入病区年资：&lt;1年资、1≤y&lt;2年资、2≤y&lt;5年资、≥5年资。</w:t>
      </w:r>
    </w:p>
    <w:p w14:paraId="3D51C2A0">
      <w:pPr>
        <w:spacing w:before="260" w:after="120" w:line="288" w:lineRule="auto"/>
        <w:ind w:firstLine="482" w:firstLineChars="200"/>
        <w:jc w:val="left"/>
        <w:outlineLvl w:val="3"/>
        <w:rPr>
          <w:rFonts w:hint="eastAsia" w:ascii="宋体" w:hAnsi="宋体" w:eastAsia="宋体" w:cs="宋体"/>
          <w:color w:val="auto"/>
          <w:sz w:val="24"/>
          <w:szCs w:val="24"/>
        </w:rPr>
      </w:pPr>
      <w:bookmarkStart w:id="35" w:name="heading_99"/>
      <w:r>
        <w:rPr>
          <w:rFonts w:hint="eastAsia" w:ascii="宋体" w:hAnsi="宋体" w:eastAsia="宋体" w:cs="宋体"/>
          <w:b/>
          <w:color w:val="auto"/>
          <w:sz w:val="24"/>
          <w:szCs w:val="24"/>
        </w:rPr>
        <w:t>3.5.12 护士离职率统计</w:t>
      </w:r>
      <w:bookmarkEnd w:id="35"/>
    </w:p>
    <w:p w14:paraId="0FE060D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护士离职率：统计周期内离职护士总人数与同期护士总人数比。</w:t>
      </w:r>
    </w:p>
    <w:p w14:paraId="127C098F">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不同职称护士离职率：统计周期内不同职称护士离职总人数与同期护士总人数，职称包括：护士、护师、主管护师、副主任护师、主任护师。</w:t>
      </w:r>
    </w:p>
    <w:p w14:paraId="73DD9403">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不同学历护士离职率：统计周期内不同学历护士离职总人数与同期护士总人数，学历包括：中专、大专、本科、硕士、博士。</w:t>
      </w:r>
    </w:p>
    <w:p w14:paraId="4F19A4AF">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不同工作年限护士离职率：统计周期内不同工作年限护士离职总人数与同期护士总人数比，普通病房工作年限包括：&lt;1年、1≤y&lt;2年资、2≤y&lt;5年资、5≤y&lt;10年资、10≤y&lt;20年资、≥20年资；重症病房工作年限包括：入病区年资：&lt;1年资、1≤y&lt;2年资、2≤y&lt;5年资、≥5年资。</w:t>
      </w:r>
    </w:p>
    <w:p w14:paraId="06F05D4D">
      <w:pPr>
        <w:spacing w:before="260" w:after="120" w:line="288" w:lineRule="auto"/>
        <w:ind w:firstLine="482" w:firstLineChars="200"/>
        <w:jc w:val="left"/>
        <w:outlineLvl w:val="3"/>
        <w:rPr>
          <w:rFonts w:hint="eastAsia" w:ascii="宋体" w:hAnsi="宋体" w:eastAsia="宋体" w:cs="宋体"/>
          <w:color w:val="auto"/>
          <w:sz w:val="24"/>
          <w:szCs w:val="24"/>
        </w:rPr>
      </w:pPr>
      <w:bookmarkStart w:id="36" w:name="heading_100"/>
      <w:r>
        <w:rPr>
          <w:rFonts w:hint="eastAsia" w:ascii="宋体" w:hAnsi="宋体" w:eastAsia="宋体" w:cs="宋体"/>
          <w:b/>
          <w:color w:val="auto"/>
          <w:sz w:val="24"/>
          <w:szCs w:val="24"/>
        </w:rPr>
        <w:t>3.5.13 护理级别占比统计</w:t>
      </w:r>
      <w:bookmarkEnd w:id="36"/>
    </w:p>
    <w:p w14:paraId="0323ECE1">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护理级别占比：</w:t>
      </w:r>
    </w:p>
    <w:p w14:paraId="4EC2B2C2">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特级护理占比：统计周期内特级护理人数与同期住院患者总数比。</w:t>
      </w:r>
    </w:p>
    <w:p w14:paraId="5909CC01">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一级护理占比：统计周期内一级护理人数与同期住院患者总数比。</w:t>
      </w:r>
    </w:p>
    <w:p w14:paraId="002A849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二级护理占比：统计周期内二级护理人数与同期住院患者总数比。</w:t>
      </w:r>
    </w:p>
    <w:p w14:paraId="4CB241C0">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三级护理占比：统计周期内三级护理人数与同期住院患者总数比。</w:t>
      </w:r>
    </w:p>
    <w:p w14:paraId="512D4F00">
      <w:pPr>
        <w:spacing w:before="260" w:after="120" w:line="288" w:lineRule="auto"/>
        <w:ind w:firstLine="482" w:firstLineChars="200"/>
        <w:jc w:val="left"/>
        <w:outlineLvl w:val="3"/>
        <w:rPr>
          <w:rFonts w:hint="eastAsia" w:ascii="宋体" w:hAnsi="宋体" w:eastAsia="宋体" w:cs="宋体"/>
          <w:color w:val="auto"/>
          <w:sz w:val="24"/>
          <w:szCs w:val="24"/>
        </w:rPr>
      </w:pPr>
      <w:bookmarkStart w:id="37" w:name="heading_101"/>
      <w:r>
        <w:rPr>
          <w:rFonts w:hint="eastAsia" w:ascii="宋体" w:hAnsi="宋体" w:eastAsia="宋体" w:cs="宋体"/>
          <w:b/>
          <w:color w:val="auto"/>
          <w:sz w:val="24"/>
          <w:szCs w:val="24"/>
        </w:rPr>
        <w:t>3.5.14 指标输出功能</w:t>
      </w:r>
      <w:bookmarkEnd w:id="37"/>
    </w:p>
    <w:p w14:paraId="3A3D82B3">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指标输出支持根据固定周期或自定义周期设置。</w:t>
      </w:r>
    </w:p>
    <w:p w14:paraId="0E04316D">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指标输出支持根据固定周期（日、月、季度、半年、年）进行统计查询。</w:t>
      </w:r>
    </w:p>
    <w:p w14:paraId="5473CDE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指标统计结果支持跟踪具体指标数据的明细查询。</w:t>
      </w:r>
    </w:p>
    <w:p w14:paraId="3635005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支持统计报表导出以及不同展现模式的切换。</w:t>
      </w:r>
    </w:p>
    <w:p w14:paraId="5F150D7A">
      <w:pPr>
        <w:spacing w:before="260" w:after="120" w:line="288" w:lineRule="auto"/>
        <w:ind w:firstLine="482" w:firstLineChars="200"/>
        <w:jc w:val="left"/>
        <w:outlineLvl w:val="3"/>
        <w:rPr>
          <w:rFonts w:hint="eastAsia" w:ascii="宋体" w:hAnsi="宋体" w:eastAsia="宋体" w:cs="宋体"/>
          <w:b/>
          <w:color w:val="auto"/>
          <w:sz w:val="24"/>
          <w:szCs w:val="24"/>
        </w:rPr>
      </w:pPr>
      <w:r>
        <w:rPr>
          <w:rFonts w:hint="eastAsia" w:ascii="宋体" w:hAnsi="宋体" w:eastAsia="宋体" w:cs="宋体"/>
          <w:b/>
          <w:color w:val="auto"/>
          <w:sz w:val="24"/>
          <w:szCs w:val="24"/>
        </w:rPr>
        <w:t>4.资源配置要求</w:t>
      </w:r>
    </w:p>
    <w:p w14:paraId="43D378EC">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供应商应结合自身产品架构及项目实际使用需求，</w:t>
      </w:r>
      <w:r>
        <w:rPr>
          <w:rFonts w:hint="eastAsia" w:ascii="宋体" w:hAnsi="宋体" w:eastAsia="宋体" w:cs="宋体"/>
          <w:color w:val="auto"/>
          <w:sz w:val="24"/>
          <w:szCs w:val="24"/>
        </w:rPr>
        <w:t>向采购人提供本项目实施所需计算资源、存储资源、操作系统、数据库、云端资源计算资源、存储资源、安全资源的使用权，</w:t>
      </w:r>
      <w:r>
        <w:rPr>
          <w:rFonts w:hint="eastAsia" w:ascii="宋体" w:hAnsi="宋体" w:eastAsia="宋体" w:cs="宋体"/>
          <w:color w:val="auto"/>
          <w:sz w:val="24"/>
          <w:szCs w:val="24"/>
        </w:rPr>
        <w:t>使用期限自项目最终验收合格之日起不少于 3 年。</w:t>
      </w:r>
    </w:p>
    <w:p w14:paraId="2A01FD36">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在本项目运维服务周期内，若出现计算、存储等系统资源不足，无法满足业务正常运行的，供应商须无偿对系统资源进行补充、扩容扩展，上述全部相关费用已包含在本项目总报价中，采购人无需另行支付任何费用。</w:t>
      </w:r>
    </w:p>
    <w:p w14:paraId="78EE53BF">
      <w:pPr>
        <w:spacing w:before="260" w:after="120" w:line="288" w:lineRule="auto"/>
        <w:ind w:firstLine="482" w:firstLineChars="200"/>
        <w:jc w:val="left"/>
        <w:outlineLvl w:val="3"/>
        <w:rPr>
          <w:rFonts w:hint="eastAsia" w:ascii="宋体" w:hAnsi="宋体" w:eastAsia="宋体" w:cs="宋体"/>
          <w:b/>
          <w:color w:val="auto"/>
          <w:sz w:val="24"/>
          <w:szCs w:val="24"/>
        </w:rPr>
      </w:pPr>
      <w:r>
        <w:rPr>
          <w:rFonts w:hint="eastAsia" w:ascii="宋体" w:hAnsi="宋体" w:eastAsia="宋体" w:cs="宋体"/>
          <w:b/>
          <w:color w:val="auto"/>
          <w:sz w:val="24"/>
          <w:szCs w:val="24"/>
        </w:rPr>
        <w:t>5.实施周期</w:t>
      </w:r>
    </w:p>
    <w:p w14:paraId="4951D357">
      <w:pPr>
        <w:spacing w:before="120" w:after="120" w:line="288" w:lineRule="auto"/>
        <w:ind w:left="420" w:leftChars="200" w:firstLine="480" w:firstLineChars="200"/>
        <w:jc w:val="left"/>
        <w:rPr>
          <w:rFonts w:hint="eastAsia" w:ascii="宋体" w:hAnsi="宋体" w:eastAsia="宋体" w:cs="宋体"/>
          <w:color w:val="auto"/>
          <w:sz w:val="24"/>
          <w:szCs w:val="24"/>
          <w:highlight w:val="yellow"/>
        </w:rPr>
      </w:pPr>
      <w:r>
        <w:rPr>
          <w:rFonts w:ascii="宋体" w:hAnsi="宋体" w:eastAsia="宋体" w:cs="宋体"/>
          <w:color w:val="auto"/>
          <w:sz w:val="24"/>
          <w:szCs w:val="24"/>
        </w:rPr>
        <w:t>本项目合同签订之日起6个月内，完成系统部署、</w:t>
      </w:r>
      <w:r>
        <w:rPr>
          <w:rFonts w:hint="eastAsia" w:ascii="宋体" w:hAnsi="宋体" w:eastAsia="宋体" w:cs="宋体"/>
          <w:color w:val="auto"/>
          <w:sz w:val="24"/>
          <w:szCs w:val="24"/>
        </w:rPr>
        <w:t>接口</w:t>
      </w:r>
      <w:r>
        <w:rPr>
          <w:rFonts w:ascii="宋体" w:hAnsi="宋体" w:eastAsia="宋体" w:cs="宋体"/>
          <w:color w:val="auto"/>
          <w:sz w:val="24"/>
          <w:szCs w:val="24"/>
        </w:rPr>
        <w:t>调试及全功能上线工作；系统上线后开展</w:t>
      </w:r>
      <w:r>
        <w:rPr>
          <w:rFonts w:hint="eastAsia" w:ascii="宋体" w:hAnsi="宋体" w:eastAsia="宋体" w:cs="宋体"/>
          <w:color w:val="auto"/>
          <w:sz w:val="24"/>
          <w:szCs w:val="24"/>
        </w:rPr>
        <w:t>不低于3个月</w:t>
      </w:r>
      <w:r>
        <w:rPr>
          <w:rFonts w:ascii="宋体" w:hAnsi="宋体" w:eastAsia="宋体" w:cs="宋体"/>
          <w:color w:val="auto"/>
          <w:sz w:val="24"/>
          <w:szCs w:val="24"/>
        </w:rPr>
        <w:t>的试运行；试运行结束且系统运行稳定、功能达标后，1个月内完成项目整体正式验收。</w:t>
      </w:r>
    </w:p>
    <w:p w14:paraId="61750990">
      <w:pPr>
        <w:spacing w:before="260" w:after="120" w:line="288" w:lineRule="auto"/>
        <w:ind w:firstLine="482" w:firstLineChars="200"/>
        <w:jc w:val="left"/>
        <w:outlineLvl w:val="3"/>
        <w:rPr>
          <w:rFonts w:hint="eastAsia" w:ascii="宋体" w:hAnsi="宋体" w:eastAsia="宋体" w:cs="宋体"/>
          <w:b/>
          <w:color w:val="auto"/>
          <w:sz w:val="24"/>
          <w:szCs w:val="24"/>
        </w:rPr>
      </w:pPr>
      <w:r>
        <w:rPr>
          <w:rFonts w:hint="eastAsia" w:ascii="宋体" w:hAnsi="宋体" w:eastAsia="宋体" w:cs="宋体"/>
          <w:b/>
          <w:color w:val="auto"/>
          <w:sz w:val="24"/>
          <w:szCs w:val="24"/>
        </w:rPr>
        <w:t>6.信息安全</w:t>
      </w:r>
    </w:p>
    <w:p w14:paraId="3ED0139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6.1数据库、操作系统等漏洞补丁修复（现有版本如有漏洞，及时更新）；</w:t>
      </w:r>
    </w:p>
    <w:p w14:paraId="4F8C6B0F">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6.2系统漏洞扫描，渗透测试问题修复（2小时内响应，48小时内修复完成）；收到安全隐患通知后，24小时内处置安全隐患。</w:t>
      </w:r>
    </w:p>
    <w:p w14:paraId="58F40B2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6.3成立安全管理团队：建立7×24小时安全值班组（含开发/运维/安全三方联动），漏洞确认后立即启动跨部门会议；</w:t>
      </w:r>
    </w:p>
    <w:p w14:paraId="255D5FF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6.4为保证系统数据稳定性及安全性，在系统上线前需通过采购人组织的安全评估，合格后方可正式上线运行。</w:t>
      </w:r>
    </w:p>
    <w:p w14:paraId="0A375D6D">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6.5服务期内，按照《中华人民共和国网络安全法》、《中华人民共和国保守国家秘密法》、《信息安全等级保护管理办法》的要求采取相应措施，接受采购人信息安全管理，协助采购人做好信息安全工作，及时处置安全风险。投标人须与采购人签订数据保密协议，须对其服务人员加强信息系统安全管理教育和培训，增强系统安全防意识。</w:t>
      </w:r>
    </w:p>
    <w:p w14:paraId="32D23895">
      <w:pPr>
        <w:spacing w:before="120" w:after="120" w:line="288"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6.6需满足云服务器安全：</w:t>
      </w:r>
    </w:p>
    <w:p w14:paraId="32A08923">
      <w:pPr>
        <w:spacing w:before="120" w:after="120" w:line="288"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云平台安全运维服务：提供运维期间云平台安全运维服务，至少提供：主机安全组件、云防火墙CFW（含入侵防御IPS模块）、Web应用防火墙WAF、日志审计、SSL证书、云主机备份、数据库审计。协助使用单位通过本系统进行安全测评，测评及时常运维中发现的信息安全问题及时整改完善，不再收取任何费用。</w:t>
      </w:r>
    </w:p>
    <w:p w14:paraId="5E79E410">
      <w:pPr>
        <w:spacing w:before="120" w:after="120" w:line="288"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主机安全：提供病毒查杀、异常登录、暴力破解、漏洞扫描、基线检查安全功能。</w:t>
      </w:r>
    </w:p>
    <w:p w14:paraId="3D8A6D68">
      <w:pPr>
        <w:spacing w:before="120" w:after="120" w:line="288"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云防火墙CFW（含入侵防御IPS）：必须内置入侵防御系统（IPS），支持黑名单功能，支持检测和自动拦截基于网络层的攻击行为，包括但不限于：漏洞利用、暴力破解、僵尸网络通信、挖矿程序、木马回连等；支持自动拦截模式。</w:t>
      </w:r>
    </w:p>
    <w:p w14:paraId="4D142703">
      <w:pPr>
        <w:spacing w:before="120" w:after="120" w:line="288"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Web应用防火墙WAF：提供OWASP Top 10常见Web攻击防护，包括SQL注入、XSS跨站脚本、命令注入等；支持DDoS防护功能，支持Bot管理，可识别并拦截恶意爬虫、垃圾注册等行为。</w:t>
      </w:r>
    </w:p>
    <w:p w14:paraId="3D3585DB">
      <w:pPr>
        <w:spacing w:before="120" w:after="120" w:line="288"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日志留存：支持对云防火墙CFW、服务器、主机安全、WAF的日志进行集中采集和存储；并保留不低于180天的日志信息。</w:t>
      </w:r>
    </w:p>
    <w:p w14:paraId="190157AD">
      <w:pPr>
        <w:spacing w:before="120" w:after="120" w:line="288"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云主机备份：对云服务器系统盘和数据盘进行自动备份；支持按时间点回滚，防止数据丢失。</w:t>
      </w:r>
    </w:p>
    <w:p w14:paraId="45130F97">
      <w:pPr>
        <w:spacing w:before="120" w:after="120" w:line="288" w:lineRule="auto"/>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数据库审计：保留不低于180天的日志信息。审计信息能够记录执行时长、影响行数、执行结果描述、返回结果集；对数据库操作进行审计，记录SQL语句、执行时间、影响行数、源IP等信息。</w:t>
      </w:r>
    </w:p>
    <w:p w14:paraId="7F199AFB">
      <w:pPr>
        <w:spacing w:before="120" w:after="120" w:line="288" w:lineRule="auto"/>
        <w:ind w:firstLine="480" w:firstLineChars="20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需提供DMZ区前置机，内网服务器与云服务器交互必须通过前置机进行。用户请求不直接访问医院互联网出口地址，必须通过云服务器进行转发。</w:t>
      </w:r>
    </w:p>
    <w:p w14:paraId="6B06CDC0">
      <w:pPr>
        <w:spacing w:before="260" w:after="120" w:line="288" w:lineRule="auto"/>
        <w:ind w:firstLine="482" w:firstLineChars="200"/>
        <w:jc w:val="left"/>
        <w:outlineLvl w:val="3"/>
        <w:rPr>
          <w:rFonts w:hint="eastAsia" w:ascii="宋体" w:hAnsi="宋体" w:eastAsia="宋体" w:cs="宋体"/>
          <w:b/>
          <w:color w:val="auto"/>
          <w:sz w:val="24"/>
          <w:szCs w:val="24"/>
        </w:rPr>
      </w:pPr>
      <w:r>
        <w:rPr>
          <w:rFonts w:hint="eastAsia" w:ascii="宋体" w:hAnsi="宋体" w:eastAsia="宋体" w:cs="宋体"/>
          <w:b/>
          <w:color w:val="auto"/>
          <w:sz w:val="24"/>
          <w:szCs w:val="24"/>
        </w:rPr>
        <w:t>7.接口费用要求</w:t>
      </w:r>
    </w:p>
    <w:p w14:paraId="47C9231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7.1系统涉及的第三方系统及硬件设备的接口对接开发、联调、测试及运维费用，应全部包含在本次报价中，医院无需另行支付任何费用。针对本项目，目前系统厂商预估接口费用</w:t>
      </w:r>
      <w:r>
        <w:rPr>
          <w:rFonts w:hint="eastAsia" w:ascii="宋体" w:hAnsi="宋体" w:eastAsia="宋体" w:cs="宋体"/>
          <w:color w:val="auto"/>
          <w:sz w:val="24"/>
          <w:szCs w:val="24"/>
        </w:rPr>
        <w:t>最高限价为20万元</w:t>
      </w:r>
      <w:r>
        <w:rPr>
          <w:rFonts w:hint="eastAsia" w:ascii="宋体" w:hAnsi="宋体" w:eastAsia="宋体" w:cs="宋体"/>
          <w:color w:val="auto"/>
          <w:sz w:val="24"/>
          <w:szCs w:val="24"/>
        </w:rPr>
        <w:t>，上述费用应包含在本次项目报价清单内。</w:t>
      </w:r>
    </w:p>
    <w:p w14:paraId="30B9C2A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7.2 数据读取要求：系统应通过接口从HIS系统读取数据，具体读取字段需满足医院要求，并在实施阶段由双方确认的《接口需求规格说明书》中详细约定。</w:t>
      </w:r>
    </w:p>
    <w:p w14:paraId="33311D8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7.3 接口交付物要求</w:t>
      </w:r>
    </w:p>
    <w:p w14:paraId="2A1256C6">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系统上线前，须向医院交付完整的接口技术文档，包括但不限于：接口清单、接口调用方式说明、数据字典、错误码对照表、接口测试报告。所有接口文档须与正式运行环境保持一致。</w:t>
      </w:r>
    </w:p>
    <w:p w14:paraId="3CD228FE">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7.4 接口可用性保障</w:t>
      </w:r>
    </w:p>
    <w:p w14:paraId="400F1F7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运维服务期内，因医院第三方系统升级、更换等原因导致的接口失效，供应商须在收到通知后5个工作日内完成接口适配调整，确保系统恢复正常数据交互，相关费用需包含在整体费用中。</w:t>
      </w:r>
    </w:p>
    <w:p w14:paraId="22C1F3E9">
      <w:pPr>
        <w:spacing w:before="260" w:after="120" w:line="288" w:lineRule="auto"/>
        <w:ind w:firstLine="482" w:firstLineChars="200"/>
        <w:jc w:val="left"/>
        <w:outlineLvl w:val="3"/>
        <w:rPr>
          <w:rFonts w:hint="eastAsia" w:ascii="宋体" w:hAnsi="宋体" w:eastAsia="宋体" w:cs="宋体"/>
          <w:b/>
          <w:color w:val="auto"/>
          <w:sz w:val="24"/>
          <w:szCs w:val="24"/>
        </w:rPr>
      </w:pPr>
      <w:r>
        <w:rPr>
          <w:rFonts w:hint="eastAsia" w:ascii="宋体" w:hAnsi="宋体" w:eastAsia="宋体" w:cs="宋体"/>
          <w:b/>
          <w:color w:val="auto"/>
          <w:sz w:val="24"/>
          <w:szCs w:val="24"/>
        </w:rPr>
        <w:t>8服务要求</w:t>
      </w:r>
    </w:p>
    <w:p w14:paraId="012E92F7">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8.1运行维护服务周期:自项目终验合格之日起3年。</w:t>
      </w:r>
    </w:p>
    <w:p w14:paraId="41FB0D5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8.2分级故障处置标准。</w:t>
      </w:r>
    </w:p>
    <w:p w14:paraId="01A431D1">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紧急故障 (系统宕机、数据库崩溃)：接到故障报修30分钟内技术人员响应并启动故障处置，如需现场支持立即启动赴现场安排；2小时内给出解决方案，优先远程完成业务修复。</w:t>
      </w:r>
    </w:p>
    <w:p w14:paraId="6A1D46A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一般非紧急故障：24 小时内完成修复，远程无法解决须上门处理。</w:t>
      </w:r>
    </w:p>
    <w:p w14:paraId="0EDA023B">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8.3常态化运维工作内容 </w:t>
      </w:r>
    </w:p>
    <w:p w14:paraId="6CE530A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系统实时监控：7×24 小时监测数据库、应用、接口运行状态，异常自动告警。</w:t>
      </w:r>
    </w:p>
    <w:p w14:paraId="031DDDCE">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安全运维：每两周开展一次数据库安全巡检，输出安全检查报告，及时处置漏洞；</w:t>
      </w:r>
    </w:p>
    <w:p w14:paraId="5F938E72">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数据备份：每天固定时间进行一次增量备份，每半年完整全量备份数据库与核心指标、报表模板，提供完整数据恢复演练支持。</w:t>
      </w:r>
    </w:p>
    <w:p w14:paraId="008C16A9">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技术咨询：随时提供数据提取、指标口径、功能操作技术支撑。</w:t>
      </w:r>
    </w:p>
    <w:p w14:paraId="7D0F1F94">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运维文档交付：按季提供全套运维资料，包含故障复盘、巡检记录、需求变更、系统升级、数据库优化、培训记录、月度运维总结报告。</w:t>
      </w:r>
    </w:p>
    <w:p w14:paraId="67BB01CD">
      <w:pPr>
        <w:spacing w:before="120" w:after="120" w:line="288"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培训服务：供应商应提供不少于3场现场集中培训，覆盖系统使用所有角色，并确保受训人员能独立操作。同时需提供完整的培训或操作手册。</w:t>
      </w:r>
    </w:p>
    <w:p w14:paraId="75FE9CA6">
      <w:pPr>
        <w:rPr>
          <w:rFonts w:hint="eastAsia" w:ascii="宋体" w:hAnsi="宋体" w:eastAsia="宋体" w:cs="宋体"/>
          <w:color w:val="auto"/>
          <w:sz w:val="24"/>
          <w:szCs w:val="24"/>
        </w:rPr>
      </w:pPr>
      <w:r>
        <w:rPr>
          <w:rFonts w:hint="eastAsia" w:ascii="宋体" w:hAnsi="宋体" w:eastAsia="宋体" w:cs="宋体"/>
          <w:color w:val="auto"/>
          <w:sz w:val="24"/>
          <w:szCs w:val="24"/>
        </w:rPr>
        <w:br w:type="page"/>
      </w:r>
    </w:p>
    <w:tbl>
      <w:tblPr>
        <w:tblStyle w:val="6"/>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8"/>
        <w:gridCol w:w="6127"/>
      </w:tblGrid>
      <w:tr w14:paraId="3C61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9195" w:type="dxa"/>
            <w:gridSpan w:val="2"/>
            <w:tcBorders>
              <w:top w:val="single" w:color="auto" w:sz="4" w:space="0"/>
              <w:left w:val="single" w:color="auto" w:sz="4" w:space="0"/>
              <w:bottom w:val="single" w:color="auto" w:sz="4" w:space="0"/>
              <w:right w:val="single" w:color="auto" w:sz="4" w:space="0"/>
            </w:tcBorders>
            <w:vAlign w:val="center"/>
          </w:tcPr>
          <w:p w14:paraId="5EC45F28">
            <w:pPr>
              <w:spacing w:after="156" w:afterLines="50" w:line="240" w:lineRule="auto"/>
              <w:jc w:val="center"/>
              <w:rPr>
                <w:rFonts w:ascii="Calibri" w:hAnsi="Calibri" w:eastAsia="宋体" w:cs="Times New Roman"/>
                <w:color w:val="000000"/>
                <w:kern w:val="2"/>
                <w:sz w:val="24"/>
                <w:szCs w:val="24"/>
                <w:lang w:eastAsia="zh-CN" w:bidi="ar-SA"/>
                <w14:ligatures w14:val="none"/>
              </w:rPr>
            </w:pPr>
            <w:r>
              <w:rPr>
                <w:rFonts w:hint="eastAsia" w:ascii="仿宋" w:hAnsi="仿宋" w:eastAsia="仿宋" w:cs="仿宋"/>
                <w:b/>
                <w:bCs/>
                <w:color w:val="000000"/>
                <w:kern w:val="2"/>
                <w:sz w:val="24"/>
                <w:szCs w:val="24"/>
                <w:lang w:eastAsia="zh-CN" w:bidi="ar"/>
                <w14:ligatures w14:val="none"/>
              </w:rPr>
              <w:t>厂商基本信息表</w:t>
            </w:r>
          </w:p>
        </w:tc>
      </w:tr>
      <w:tr w14:paraId="746C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56FF7F31">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产品相关产业发展情况（请详述全国产业情况及本公司发展情况）</w:t>
            </w:r>
          </w:p>
        </w:tc>
        <w:tc>
          <w:tcPr>
            <w:tcW w:w="6127" w:type="dxa"/>
            <w:tcBorders>
              <w:top w:val="single" w:color="auto" w:sz="4" w:space="0"/>
              <w:left w:val="single" w:color="auto" w:sz="4" w:space="0"/>
              <w:bottom w:val="single" w:color="auto" w:sz="4" w:space="0"/>
              <w:right w:val="single" w:color="auto" w:sz="4" w:space="0"/>
            </w:tcBorders>
            <w:vAlign w:val="center"/>
          </w:tcPr>
          <w:p w14:paraId="2B677D9B">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文字描述</w:t>
            </w:r>
          </w:p>
          <w:p w14:paraId="2E098234">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1.全国情况：</w:t>
            </w:r>
          </w:p>
          <w:p w14:paraId="7243D3AD">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2.本公司情况：</w:t>
            </w:r>
          </w:p>
        </w:tc>
      </w:tr>
      <w:tr w14:paraId="56E7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3FB8F586">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产品市场供给情况（简述本公司年供给情况，且另附佐证材料）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5F35D2F7">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文字描述</w:t>
            </w:r>
          </w:p>
        </w:tc>
      </w:tr>
      <w:tr w14:paraId="11EA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55E13AAF">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同类产品成交情况（进三年的成交情况，且另附佐证材料）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5A86BDBE">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文字描述</w:t>
            </w:r>
          </w:p>
        </w:tc>
      </w:tr>
      <w:tr w14:paraId="73B1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3068" w:type="dxa"/>
            <w:tcBorders>
              <w:top w:val="single" w:color="auto" w:sz="4" w:space="0"/>
              <w:left w:val="single" w:color="auto" w:sz="4" w:space="0"/>
              <w:bottom w:val="single" w:color="auto" w:sz="4" w:space="0"/>
              <w:right w:val="single" w:color="auto" w:sz="4" w:space="0"/>
            </w:tcBorders>
            <w:vAlign w:val="center"/>
          </w:tcPr>
          <w:p w14:paraId="3DFBE259">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公司企业类型（另附佐证材料）</w:t>
            </w:r>
          </w:p>
        </w:tc>
        <w:tc>
          <w:tcPr>
            <w:tcW w:w="6127" w:type="dxa"/>
            <w:tcBorders>
              <w:top w:val="single" w:color="auto" w:sz="4" w:space="0"/>
              <w:left w:val="single" w:color="auto" w:sz="4" w:space="0"/>
              <w:bottom w:val="single" w:color="auto" w:sz="4" w:space="0"/>
              <w:right w:val="single" w:color="auto" w:sz="4" w:space="0"/>
            </w:tcBorders>
            <w:vAlign w:val="center"/>
          </w:tcPr>
          <w:p w14:paraId="0E47BDA6">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大型企业（）中型企业（）小型企业（）微型企业（）监狱企业（）其他</w:t>
            </w:r>
            <w:r>
              <w:rPr>
                <w:rFonts w:ascii="Calibri" w:hAnsi="Calibri" w:eastAsia="宋体" w:cs="Times New Roman"/>
                <w:color w:val="000000"/>
                <w:kern w:val="2"/>
                <w:sz w:val="24"/>
                <w:szCs w:val="24"/>
                <w:lang w:eastAsia="zh-CN" w:bidi="ar-SA"/>
                <w14:ligatures w14:val="none"/>
              </w:rPr>
              <w:t>注：“是”打√</w:t>
            </w:r>
          </w:p>
        </w:tc>
      </w:tr>
    </w:tbl>
    <w:p w14:paraId="18A03131">
      <w:pPr>
        <w:spacing w:after="0" w:line="360" w:lineRule="auto"/>
        <w:jc w:val="right"/>
        <w:rPr>
          <w:rFonts w:ascii="仿宋_GB2312" w:hAnsi="仿宋_GB2312" w:eastAsia="仿宋_GB2312" w:cs="Times New Roman"/>
          <w:b/>
          <w:color w:val="000000"/>
          <w:kern w:val="2"/>
          <w:sz w:val="24"/>
          <w:szCs w:val="24"/>
          <w:lang w:eastAsia="zh-CN" w:bidi="ar-SA"/>
          <w14:ligatures w14:val="none"/>
        </w:rPr>
      </w:pPr>
    </w:p>
    <w:p w14:paraId="22E5AC2F">
      <w:pPr>
        <w:spacing w:after="0" w:line="360" w:lineRule="auto"/>
        <w:jc w:val="right"/>
        <w:rPr>
          <w:rFonts w:ascii="仿宋_GB2312" w:hAnsi="仿宋_GB2312" w:eastAsia="仿宋_GB2312" w:cs="Times New Roman"/>
          <w:b/>
          <w:color w:val="000000"/>
          <w:kern w:val="2"/>
          <w:sz w:val="24"/>
          <w:szCs w:val="24"/>
          <w:lang w:eastAsia="zh-CN" w:bidi="ar-SA"/>
          <w14:ligatures w14:val="none"/>
        </w:rPr>
      </w:pPr>
      <w:r>
        <w:rPr>
          <w:rFonts w:hint="eastAsia" w:ascii="仿宋_GB2312" w:hAnsi="仿宋_GB2312" w:eastAsia="仿宋_GB2312" w:cs="Times New Roman"/>
          <w:b/>
          <w:color w:val="000000"/>
          <w:kern w:val="2"/>
          <w:sz w:val="24"/>
          <w:szCs w:val="24"/>
          <w:lang w:eastAsia="zh-CN" w:bidi="ar-SA"/>
          <w14:ligatures w14:val="none"/>
        </w:rPr>
        <w:t>厂家（商）：盖公章</w:t>
      </w:r>
    </w:p>
    <w:p w14:paraId="19F10D88">
      <w:pPr>
        <w:spacing w:after="156" w:afterLines="50" w:line="240" w:lineRule="auto"/>
        <w:jc w:val="right"/>
        <w:rPr>
          <w:rFonts w:ascii="Calibri" w:hAnsi="Calibri" w:eastAsia="宋体" w:cs="Times New Roman"/>
          <w:color w:val="000000"/>
          <w:kern w:val="2"/>
          <w:sz w:val="24"/>
          <w:szCs w:val="24"/>
          <w:lang w:eastAsia="zh-CN" w:bidi="ar-SA"/>
          <w14:ligatures w14:val="none"/>
        </w:rPr>
      </w:pPr>
      <w:r>
        <w:rPr>
          <w:rFonts w:hint="eastAsia" w:ascii="仿宋_GB2312" w:hAnsi="仿宋_GB2312" w:eastAsia="仿宋_GB2312" w:cs="Times New Roman"/>
          <w:b/>
          <w:color w:val="000000"/>
          <w:kern w:val="2"/>
          <w:sz w:val="28"/>
          <w:szCs w:val="24"/>
          <w:lang w:eastAsia="zh-CN" w:bidi="ar-SA"/>
          <w14:ligatures w14:val="none"/>
        </w:rPr>
        <w:t>日期：   年   月   日</w:t>
      </w:r>
    </w:p>
    <w:p w14:paraId="00E7C2CD">
      <w:pPr>
        <w:spacing w:after="0" w:line="240" w:lineRule="auto"/>
        <w:jc w:val="both"/>
        <w:rPr>
          <w:rFonts w:ascii="Calibri" w:hAnsi="Calibri" w:eastAsia="宋体" w:cs="Times New Roman"/>
          <w:color w:val="000000"/>
          <w:kern w:val="2"/>
          <w:sz w:val="24"/>
          <w:szCs w:val="24"/>
          <w:lang w:eastAsia="zh-CN" w:bidi="ar-SA"/>
          <w14:ligatures w14:val="none"/>
        </w:rPr>
      </w:pPr>
    </w:p>
    <w:p w14:paraId="20265093">
      <w:pPr>
        <w:spacing w:after="156" w:afterLines="50" w:line="240" w:lineRule="auto"/>
        <w:jc w:val="both"/>
        <w:rPr>
          <w:rFonts w:ascii="Calibri" w:hAnsi="Calibri" w:eastAsia="宋体" w:cs="Times New Roman"/>
          <w:color w:val="000000"/>
          <w:kern w:val="2"/>
          <w:sz w:val="24"/>
          <w:szCs w:val="24"/>
          <w:lang w:eastAsia="zh-CN" w:bidi="ar-SA"/>
          <w14:ligatures w14:val="none"/>
        </w:rPr>
      </w:pPr>
      <w:r>
        <w:rPr>
          <w:rFonts w:ascii="Calibri" w:hAnsi="Calibri" w:eastAsia="宋体" w:cs="Times New Roman"/>
          <w:color w:val="000000"/>
          <w:kern w:val="2"/>
          <w:sz w:val="24"/>
          <w:szCs w:val="24"/>
          <w:lang w:eastAsia="zh-CN" w:bidi="ar-SA"/>
          <w14:ligatures w14:val="none"/>
        </w:rPr>
        <w:br w:type="page"/>
      </w:r>
    </w:p>
    <w:p w14:paraId="495C42A0">
      <w:pPr>
        <w:spacing w:after="0" w:line="240" w:lineRule="auto"/>
        <w:jc w:val="center"/>
        <w:rPr>
          <w:rFonts w:ascii="方正小标宋简体" w:hAnsi="方正小标宋简体" w:eastAsia="方正小标宋_GBK" w:cs="Times New Roman"/>
          <w:color w:val="000000"/>
          <w:kern w:val="2"/>
          <w:sz w:val="36"/>
          <w:szCs w:val="36"/>
          <w:lang w:eastAsia="zh-CN" w:bidi="ar-SA"/>
          <w14:ligatures w14:val="none"/>
        </w:rPr>
      </w:pPr>
      <w:r>
        <w:rPr>
          <w:rFonts w:hint="eastAsia" w:ascii="方正小标宋_GBK" w:hAnsi="方正小标宋_GBK" w:eastAsia="方正小标宋_GBK" w:cs="方正小标宋_GBK"/>
          <w:color w:val="000000"/>
          <w:kern w:val="2"/>
          <w:sz w:val="36"/>
          <w:szCs w:val="36"/>
          <w:lang w:eastAsia="zh-CN" w:bidi="ar-SA"/>
          <w14:ligatures w14:val="none"/>
        </w:rPr>
        <w:t>成都市第二人民医院</w:t>
      </w:r>
      <w:r>
        <w:rPr>
          <w:rFonts w:hint="eastAsia" w:ascii="方正小标宋_GBK" w:hAnsi="方正小标宋_GBK" w:eastAsia="方正小标宋_GBK" w:cs="方正小标宋_GBK"/>
          <w:color w:val="000000"/>
          <w:kern w:val="2"/>
          <w:sz w:val="36"/>
          <w:szCs w:val="36"/>
          <w:lang w:val="en-US" w:eastAsia="zh-CN" w:bidi="ar-SA"/>
          <w14:ligatures w14:val="none"/>
        </w:rPr>
        <w:t>移动护理质量管理及敏感指标系统建设项目</w:t>
      </w:r>
      <w:r>
        <w:rPr>
          <w:rFonts w:hint="eastAsia" w:ascii="方正小标宋_GBK" w:hAnsi="方正小标宋_GBK" w:eastAsia="方正小标宋_GBK" w:cs="方正小标宋_GBK"/>
          <w:color w:val="000000"/>
          <w:kern w:val="2"/>
          <w:sz w:val="36"/>
          <w:szCs w:val="36"/>
          <w:lang w:eastAsia="zh-CN" w:bidi="ar-SA"/>
          <w14:ligatures w14:val="none"/>
        </w:rPr>
        <w:t>报价表</w:t>
      </w:r>
    </w:p>
    <w:p w14:paraId="08F0F497">
      <w:pPr>
        <w:spacing w:after="0" w:line="240" w:lineRule="auto"/>
        <w:jc w:val="both"/>
        <w:rPr>
          <w:rFonts w:ascii="Calibri" w:hAnsi="Calibri" w:eastAsia="宋体" w:cs="Times New Roman"/>
          <w:color w:val="000000"/>
          <w:kern w:val="2"/>
          <w:sz w:val="24"/>
          <w:szCs w:val="24"/>
          <w:lang w:eastAsia="zh-CN" w:bidi="ar-SA"/>
          <w14:ligatures w14:val="none"/>
        </w:rPr>
      </w:pPr>
    </w:p>
    <w:tbl>
      <w:tblPr>
        <w:tblStyle w:val="6"/>
        <w:tblW w:w="9155" w:type="dxa"/>
        <w:jc w:val="center"/>
        <w:tblLayout w:type="fixed"/>
        <w:tblCellMar>
          <w:top w:w="0" w:type="dxa"/>
          <w:left w:w="0" w:type="dxa"/>
          <w:bottom w:w="0" w:type="dxa"/>
          <w:right w:w="0" w:type="dxa"/>
        </w:tblCellMar>
      </w:tblPr>
      <w:tblGrid>
        <w:gridCol w:w="1413"/>
        <w:gridCol w:w="1569"/>
        <w:gridCol w:w="3752"/>
        <w:gridCol w:w="1230"/>
        <w:gridCol w:w="1191"/>
      </w:tblGrid>
      <w:tr w14:paraId="668E9EF2">
        <w:tblPrEx>
          <w:tblCellMar>
            <w:top w:w="0" w:type="dxa"/>
            <w:left w:w="0" w:type="dxa"/>
            <w:bottom w:w="0" w:type="dxa"/>
            <w:right w:w="0" w:type="dxa"/>
          </w:tblCellMar>
        </w:tblPrEx>
        <w:trPr>
          <w:trHeight w:val="710" w:hRule="atLeast"/>
          <w:jc w:val="center"/>
        </w:trPr>
        <w:tc>
          <w:tcPr>
            <w:tcW w:w="141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7C9D2CB7">
            <w:pPr>
              <w:spacing w:after="0" w:line="240" w:lineRule="auto"/>
              <w:jc w:val="center"/>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项目</w:t>
            </w:r>
          </w:p>
        </w:tc>
        <w:tc>
          <w:tcPr>
            <w:tcW w:w="1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F4B2B35">
            <w:pPr>
              <w:spacing w:after="0" w:line="240" w:lineRule="auto"/>
              <w:jc w:val="center"/>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内容</w:t>
            </w:r>
          </w:p>
        </w:tc>
        <w:tc>
          <w:tcPr>
            <w:tcW w:w="375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A46AF69">
            <w:pPr>
              <w:spacing w:after="0" w:line="240" w:lineRule="auto"/>
              <w:jc w:val="center"/>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用途</w:t>
            </w:r>
          </w:p>
        </w:tc>
        <w:tc>
          <w:tcPr>
            <w:tcW w:w="123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1E3E31">
            <w:pPr>
              <w:spacing w:after="0" w:line="240" w:lineRule="auto"/>
              <w:jc w:val="center"/>
              <w:rPr>
                <w:rFonts w:ascii="Calibri" w:hAnsi="Calibri" w:eastAsia="宋体" w:cs="Times New Roman"/>
                <w:color w:val="000000"/>
                <w:kern w:val="2"/>
                <w:sz w:val="24"/>
                <w:szCs w:val="24"/>
                <w:lang w:val="en-US" w:eastAsia="zh-CN" w:bidi="ar-SA"/>
                <w14:ligatures w14:val="none"/>
              </w:rPr>
            </w:pPr>
            <w:r>
              <w:rPr>
                <w:rFonts w:hint="eastAsia" w:ascii="Calibri" w:hAnsi="Calibri" w:eastAsia="宋体" w:cs="Times New Roman"/>
                <w:color w:val="000000"/>
                <w:kern w:val="2"/>
                <w:sz w:val="24"/>
                <w:szCs w:val="24"/>
                <w:lang w:eastAsia="zh-CN" w:bidi="ar-SA"/>
                <w14:ligatures w14:val="none"/>
              </w:rPr>
              <w:t>报价</w:t>
            </w:r>
          </w:p>
        </w:tc>
        <w:tc>
          <w:tcPr>
            <w:tcW w:w="119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32D5CF">
            <w:pPr>
              <w:spacing w:after="0" w:line="240" w:lineRule="auto"/>
              <w:jc w:val="center"/>
              <w:rPr>
                <w:rFonts w:hint="eastAsia" w:ascii="Calibri" w:hAnsi="Calibri" w:eastAsia="宋体" w:cs="Times New Roman"/>
                <w:color w:val="000000"/>
                <w:kern w:val="2"/>
                <w:sz w:val="24"/>
                <w:szCs w:val="24"/>
                <w:lang w:val="en-US" w:eastAsia="zh-CN" w:bidi="ar-SA"/>
                <w14:ligatures w14:val="none"/>
              </w:rPr>
            </w:pPr>
            <w:r>
              <w:rPr>
                <w:rFonts w:hint="eastAsia" w:ascii="Calibri" w:hAnsi="Calibri" w:eastAsia="宋体" w:cs="Times New Roman"/>
                <w:color w:val="000000"/>
                <w:kern w:val="2"/>
                <w:sz w:val="24"/>
                <w:szCs w:val="24"/>
                <w:lang w:eastAsia="zh-CN" w:bidi="ar-SA"/>
                <w14:ligatures w14:val="none"/>
              </w:rPr>
              <w:t>备注</w:t>
            </w:r>
          </w:p>
        </w:tc>
      </w:tr>
      <w:tr w14:paraId="7473540C">
        <w:tblPrEx>
          <w:tblCellMar>
            <w:top w:w="0" w:type="dxa"/>
            <w:left w:w="0" w:type="dxa"/>
            <w:bottom w:w="0" w:type="dxa"/>
            <w:right w:w="0" w:type="dxa"/>
          </w:tblCellMar>
        </w:tblPrEx>
        <w:trPr>
          <w:trHeight w:val="2110" w:hRule="atLeast"/>
          <w:jc w:val="center"/>
        </w:trPr>
        <w:tc>
          <w:tcPr>
            <w:tcW w:w="1413"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1847B01">
            <w:pPr>
              <w:spacing w:after="0" w:line="240" w:lineRule="auto"/>
              <w:jc w:val="both"/>
              <w:rPr>
                <w:rFonts w:hint="default" w:ascii="Calibri" w:hAnsi="Calibri" w:eastAsia="宋体" w:cs="Times New Roman"/>
                <w:color w:val="000000"/>
                <w:kern w:val="2"/>
                <w:sz w:val="24"/>
                <w:szCs w:val="24"/>
                <w:lang w:val="en-US" w:eastAsia="zh-CN" w:bidi="ar-SA"/>
                <w14:ligatures w14:val="none"/>
              </w:rPr>
            </w:pPr>
            <w:r>
              <w:rPr>
                <w:rFonts w:hint="eastAsia" w:ascii="Calibri" w:hAnsi="Calibri" w:eastAsia="宋体" w:cs="Times New Roman"/>
                <w:color w:val="000000"/>
                <w:kern w:val="2"/>
                <w:sz w:val="24"/>
                <w:szCs w:val="24"/>
                <w:lang w:val="en-US" w:eastAsia="zh-CN" w:bidi="ar-SA"/>
                <w14:ligatures w14:val="none"/>
              </w:rPr>
              <w:t>移动护理质量管理及敏感指标系统建设项目</w:t>
            </w:r>
          </w:p>
        </w:tc>
        <w:tc>
          <w:tcPr>
            <w:tcW w:w="1569"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08374A59">
            <w:pPr>
              <w:spacing w:after="0" w:line="240" w:lineRule="auto"/>
              <w:jc w:val="both"/>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详见</w:t>
            </w:r>
            <w:r>
              <w:rPr>
                <w:rFonts w:hint="eastAsia" w:ascii="Calibri" w:hAnsi="Calibri" w:eastAsia="宋体" w:cs="Times New Roman"/>
                <w:color w:val="000000"/>
                <w:kern w:val="2"/>
                <w:sz w:val="24"/>
                <w:szCs w:val="24"/>
                <w:lang w:val="en-US" w:eastAsia="zh-CN" w:bidi="ar-SA"/>
                <w14:ligatures w14:val="none"/>
              </w:rPr>
              <w:t>建设</w:t>
            </w:r>
            <w:r>
              <w:rPr>
                <w:rFonts w:hint="eastAsia" w:ascii="Calibri" w:hAnsi="Calibri" w:eastAsia="宋体" w:cs="Times New Roman"/>
                <w:color w:val="000000"/>
                <w:kern w:val="2"/>
                <w:sz w:val="24"/>
                <w:szCs w:val="24"/>
                <w:lang w:eastAsia="zh-CN" w:bidi="ar-SA"/>
                <w14:ligatures w14:val="none"/>
              </w:rPr>
              <w:t>要求。</w:t>
            </w:r>
          </w:p>
        </w:tc>
        <w:tc>
          <w:tcPr>
            <w:tcW w:w="375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BE212F">
            <w:pPr>
              <w:spacing w:after="0" w:line="240" w:lineRule="auto"/>
              <w:jc w:val="both"/>
              <w:rPr>
                <w:rFonts w:hint="default" w:ascii="Calibri" w:hAnsi="Calibri" w:eastAsia="宋体" w:cs="Times New Roman"/>
                <w:color w:val="000000"/>
                <w:kern w:val="2"/>
                <w:sz w:val="24"/>
                <w:szCs w:val="24"/>
                <w:lang w:val="en-US" w:eastAsia="zh-CN" w:bidi="ar-SA"/>
                <w14:ligatures w14:val="none"/>
              </w:rPr>
            </w:pPr>
            <w:r>
              <w:rPr>
                <w:rFonts w:hint="default" w:ascii="Calibri" w:hAnsi="Calibri" w:eastAsia="宋体" w:cs="Times New Roman"/>
                <w:color w:val="000000"/>
                <w:kern w:val="2"/>
                <w:sz w:val="24"/>
                <w:szCs w:val="24"/>
                <w:lang w:val="en-US" w:eastAsia="zh-CN" w:bidi="ar-SA"/>
                <w14:ligatures w14:val="none"/>
              </w:rPr>
              <w:t>补齐</w:t>
            </w:r>
            <w:r>
              <w:rPr>
                <w:rFonts w:hint="eastAsia" w:ascii="Calibri" w:hAnsi="Calibri" w:eastAsia="宋体" w:cs="Times New Roman"/>
                <w:color w:val="000000"/>
                <w:kern w:val="2"/>
                <w:sz w:val="24"/>
                <w:szCs w:val="24"/>
                <w:lang w:val="en-US" w:eastAsia="zh-CN" w:bidi="ar-SA"/>
                <w14:ligatures w14:val="none"/>
              </w:rPr>
              <w:t>医院现有</w:t>
            </w:r>
            <w:r>
              <w:rPr>
                <w:rFonts w:hint="default" w:ascii="Calibri" w:hAnsi="Calibri" w:eastAsia="宋体" w:cs="Times New Roman"/>
                <w:color w:val="000000"/>
                <w:kern w:val="2"/>
                <w:sz w:val="24"/>
                <w:szCs w:val="24"/>
                <w:lang w:val="en-US" w:eastAsia="zh-CN" w:bidi="ar-SA"/>
                <w14:ligatures w14:val="none"/>
              </w:rPr>
              <w:t>护理信息化短板，规范质控与指标管理，实现护理质量精细化、智能化管控。</w:t>
            </w:r>
          </w:p>
        </w:tc>
        <w:tc>
          <w:tcPr>
            <w:tcW w:w="123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0F341E7">
            <w:pPr>
              <w:spacing w:after="0" w:line="240" w:lineRule="auto"/>
              <w:jc w:val="both"/>
              <w:rPr>
                <w:rFonts w:ascii="Calibri" w:hAnsi="Calibri" w:eastAsia="宋体" w:cs="Times New Roman"/>
                <w:color w:val="000000"/>
                <w:kern w:val="2"/>
                <w:sz w:val="24"/>
                <w:szCs w:val="24"/>
                <w:lang w:eastAsia="zh-CN" w:bidi="ar-SA"/>
                <w14:ligatures w14:val="none"/>
              </w:rPr>
            </w:pPr>
          </w:p>
        </w:tc>
        <w:tc>
          <w:tcPr>
            <w:tcW w:w="119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B324AD9">
            <w:pPr>
              <w:spacing w:after="0" w:line="240" w:lineRule="auto"/>
              <w:jc w:val="both"/>
              <w:rPr>
                <w:rFonts w:hint="default" w:ascii="Calibri" w:hAnsi="Calibri" w:eastAsia="宋体" w:cs="Times New Roman"/>
                <w:color w:val="000000"/>
                <w:kern w:val="2"/>
                <w:sz w:val="24"/>
                <w:szCs w:val="24"/>
                <w:lang w:val="en-US" w:eastAsia="zh-CN" w:bidi="ar-SA"/>
                <w14:ligatures w14:val="none"/>
              </w:rPr>
            </w:pPr>
            <w:r>
              <w:rPr>
                <w:rFonts w:hint="eastAsia" w:ascii="Calibri" w:hAnsi="Calibri" w:eastAsia="宋体" w:cs="Times New Roman"/>
                <w:color w:val="000000"/>
                <w:kern w:val="2"/>
                <w:sz w:val="24"/>
                <w:szCs w:val="24"/>
                <w:lang w:val="en-US" w:eastAsia="zh-CN" w:bidi="ar-SA"/>
                <w14:ligatures w14:val="none"/>
              </w:rPr>
              <w:t>按照分项报价（软件各模块、计算资源、运维等）</w:t>
            </w:r>
          </w:p>
        </w:tc>
      </w:tr>
    </w:tbl>
    <w:p w14:paraId="341DB849">
      <w:pPr>
        <w:spacing w:after="0" w:line="240" w:lineRule="auto"/>
        <w:ind w:left="619" w:leftChars="295"/>
        <w:jc w:val="both"/>
        <w:rPr>
          <w:rFonts w:ascii="Calibri" w:hAnsi="Calibri" w:eastAsia="宋体" w:cs="Times New Roman"/>
          <w:color w:val="000000"/>
          <w:kern w:val="2"/>
          <w:sz w:val="24"/>
          <w:szCs w:val="24"/>
          <w:lang w:eastAsia="zh-CN" w:bidi="ar-SA"/>
          <w14:ligatures w14:val="none"/>
        </w:rPr>
      </w:pPr>
    </w:p>
    <w:p w14:paraId="5B9EAED6">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r>
        <w:rPr>
          <w:rFonts w:hint="eastAsia" w:ascii="Calibri" w:hAnsi="Calibri" w:eastAsia="宋体" w:cs="Times New Roman"/>
          <w:smallCaps/>
          <w:color w:val="000000"/>
          <w:kern w:val="2"/>
          <w:sz w:val="24"/>
          <w:szCs w:val="24"/>
          <w:lang w:eastAsia="zh-CN" w:bidi="ar-SA"/>
          <w14:ligatures w14:val="none"/>
        </w:rPr>
        <w:t>报价公司：</w:t>
      </w:r>
    </w:p>
    <w:p w14:paraId="72B12156">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r>
        <w:rPr>
          <w:rFonts w:hint="eastAsia" w:ascii="Calibri" w:hAnsi="Calibri" w:eastAsia="宋体" w:cs="Times New Roman"/>
          <w:smallCaps/>
          <w:color w:val="000000"/>
          <w:kern w:val="2"/>
          <w:sz w:val="24"/>
          <w:szCs w:val="24"/>
          <w:lang w:eastAsia="zh-CN" w:bidi="ar-SA"/>
          <w14:ligatures w14:val="none"/>
        </w:rPr>
        <w:t>联系方式：</w:t>
      </w:r>
    </w:p>
    <w:p w14:paraId="71364713">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r>
        <w:rPr>
          <w:rFonts w:hint="eastAsia" w:ascii="Calibri" w:hAnsi="Calibri" w:eastAsia="宋体" w:cs="Times New Roman"/>
          <w:smallCaps/>
          <w:color w:val="000000"/>
          <w:kern w:val="2"/>
          <w:sz w:val="24"/>
          <w:szCs w:val="24"/>
          <w:lang w:eastAsia="zh-CN" w:bidi="ar-SA"/>
          <w14:ligatures w14:val="none"/>
        </w:rPr>
        <w:t>是否对需求内容完全响应：</w:t>
      </w:r>
    </w:p>
    <w:p w14:paraId="45231A5C">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r>
        <w:rPr>
          <w:rFonts w:hint="eastAsia" w:ascii="Calibri" w:hAnsi="Calibri" w:eastAsia="宋体" w:cs="Times New Roman"/>
          <w:smallCaps/>
          <w:color w:val="000000"/>
          <w:kern w:val="2"/>
          <w:sz w:val="24"/>
          <w:szCs w:val="24"/>
          <w:lang w:eastAsia="zh-CN" w:bidi="ar-SA"/>
          <w14:ligatures w14:val="none"/>
        </w:rPr>
        <w:t>日期：</w:t>
      </w:r>
    </w:p>
    <w:p w14:paraId="0CFB4AFB">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p>
    <w:p w14:paraId="082C23B8">
      <w:pPr>
        <w:widowControl/>
        <w:spacing w:after="120" w:line="360" w:lineRule="auto"/>
        <w:ind w:firstLine="720" w:firstLineChars="300"/>
        <w:jc w:val="left"/>
        <w:rPr>
          <w:rFonts w:ascii="Calibri" w:hAnsi="Calibri" w:eastAsia="宋体" w:cs="Times New Roman"/>
          <w:smallCaps/>
          <w:color w:val="000000"/>
          <w:kern w:val="2"/>
          <w:sz w:val="24"/>
          <w:szCs w:val="24"/>
          <w:lang w:eastAsia="zh-CN" w:bidi="ar-SA"/>
          <w14:ligatures w14:val="none"/>
        </w:rPr>
      </w:pPr>
    </w:p>
    <w:p w14:paraId="463B7350">
      <w:pPr>
        <w:spacing w:after="0" w:line="240" w:lineRule="auto"/>
        <w:jc w:val="both"/>
        <w:rPr>
          <w:rFonts w:ascii="Calibri" w:hAnsi="Calibri" w:eastAsia="宋体" w:cs="Times New Roman"/>
          <w:color w:val="000000"/>
          <w:kern w:val="2"/>
          <w:sz w:val="24"/>
          <w:szCs w:val="24"/>
          <w:lang w:eastAsia="zh-CN" w:bidi="ar-SA"/>
          <w14:ligatures w14:val="none"/>
        </w:rPr>
      </w:pPr>
    </w:p>
    <w:p w14:paraId="165F68A8">
      <w:pPr>
        <w:spacing w:after="0" w:line="240" w:lineRule="auto"/>
        <w:jc w:val="both"/>
        <w:rPr>
          <w:rFonts w:ascii="Calibri" w:hAnsi="Calibri" w:eastAsia="宋体" w:cs="Times New Roman"/>
          <w:color w:val="000000"/>
          <w:kern w:val="2"/>
          <w:sz w:val="24"/>
          <w:szCs w:val="24"/>
          <w:lang w:eastAsia="zh-CN" w:bidi="ar-SA"/>
          <w14:ligatures w14:val="none"/>
        </w:rPr>
      </w:pPr>
      <w:r>
        <w:rPr>
          <w:rFonts w:ascii="Calibri" w:hAnsi="Calibri" w:eastAsia="宋体" w:cs="Times New Roman"/>
          <w:color w:val="000000"/>
          <w:kern w:val="2"/>
          <w:sz w:val="24"/>
          <w:szCs w:val="24"/>
          <w:lang w:eastAsia="zh-CN" w:bidi="ar-SA"/>
          <w14:ligatures w14:val="none"/>
        </w:rPr>
        <w:br w:type="page"/>
      </w:r>
    </w:p>
    <w:p w14:paraId="407FADE4">
      <w:pPr>
        <w:spacing w:after="0" w:line="240" w:lineRule="auto"/>
        <w:jc w:val="center"/>
        <w:rPr>
          <w:rFonts w:ascii="方正小标宋简体" w:hAnsi="方正小标宋简体" w:eastAsia="方正小标宋_GBK" w:cs="Times New Roman"/>
          <w:color w:val="000000"/>
          <w:kern w:val="2"/>
          <w:sz w:val="36"/>
          <w:szCs w:val="36"/>
          <w:lang w:eastAsia="zh-CN" w:bidi="ar-SA"/>
          <w14:ligatures w14:val="none"/>
        </w:rPr>
      </w:pPr>
      <w:r>
        <w:rPr>
          <w:rFonts w:hint="eastAsia" w:ascii="方正小标宋_GBK" w:hAnsi="方正小标宋_GBK" w:eastAsia="方正小标宋_GBK" w:cs="方正小标宋_GBK"/>
          <w:color w:val="000000"/>
          <w:kern w:val="2"/>
          <w:sz w:val="36"/>
          <w:szCs w:val="36"/>
          <w:lang w:eastAsia="zh-CN" w:bidi="ar-SA"/>
          <w14:ligatures w14:val="none"/>
        </w:rPr>
        <w:t>成都市第二人民医院</w:t>
      </w:r>
      <w:r>
        <w:rPr>
          <w:rFonts w:hint="eastAsia" w:ascii="方正小标宋_GBK" w:hAnsi="方正小标宋_GBK" w:eastAsia="方正小标宋_GBK" w:cs="方正小标宋_GBK"/>
          <w:color w:val="000000"/>
          <w:kern w:val="2"/>
          <w:sz w:val="36"/>
          <w:szCs w:val="36"/>
          <w:lang w:val="en-US" w:eastAsia="zh-CN" w:bidi="ar-SA"/>
          <w14:ligatures w14:val="none"/>
        </w:rPr>
        <w:t>移动护理质量管理及敏感指标系统建设项目</w:t>
      </w:r>
      <w:r>
        <w:rPr>
          <w:rFonts w:hint="eastAsia" w:ascii="方正小标宋_GBK" w:hAnsi="方正小标宋_GBK" w:eastAsia="方正小标宋_GBK" w:cs="方正小标宋_GBK"/>
          <w:color w:val="000000"/>
          <w:kern w:val="2"/>
          <w:sz w:val="36"/>
          <w:szCs w:val="36"/>
          <w:lang w:eastAsia="zh-CN" w:bidi="ar-SA"/>
          <w14:ligatures w14:val="none"/>
        </w:rPr>
        <w:t>建设方案</w:t>
      </w:r>
    </w:p>
    <w:p w14:paraId="450DFEB4">
      <w:pPr>
        <w:spacing w:after="0" w:line="240" w:lineRule="auto"/>
        <w:jc w:val="center"/>
        <w:rPr>
          <w:rFonts w:ascii="Calibri" w:hAnsi="Calibri" w:eastAsia="宋体" w:cs="Times New Roman"/>
          <w:color w:val="000000"/>
          <w:kern w:val="2"/>
          <w:sz w:val="24"/>
          <w:szCs w:val="24"/>
          <w:lang w:eastAsia="zh-CN" w:bidi="ar-SA"/>
          <w14:ligatures w14:val="none"/>
        </w:rPr>
      </w:pPr>
      <w:r>
        <w:rPr>
          <w:rFonts w:hint="eastAsia" w:ascii="Calibri" w:hAnsi="Calibri" w:eastAsia="宋体" w:cs="Times New Roman"/>
          <w:color w:val="000000"/>
          <w:kern w:val="2"/>
          <w:sz w:val="24"/>
          <w:szCs w:val="24"/>
          <w:lang w:eastAsia="zh-CN" w:bidi="ar-SA"/>
          <w14:ligatures w14:val="none"/>
        </w:rPr>
        <w:t>（模板）</w:t>
      </w:r>
    </w:p>
    <w:p w14:paraId="09F1D673">
      <w:pPr>
        <w:spacing w:after="0" w:line="240" w:lineRule="auto"/>
        <w:jc w:val="both"/>
        <w:rPr>
          <w:rFonts w:ascii="Calibri" w:hAnsi="Calibri" w:eastAsia="宋体" w:cs="Times New Roman"/>
          <w:color w:val="000000"/>
          <w:kern w:val="2"/>
          <w:sz w:val="24"/>
          <w:szCs w:val="24"/>
          <w:lang w:eastAsia="zh-CN" w:bidi="ar-SA"/>
          <w14:ligatures w14:val="none"/>
        </w:rPr>
      </w:pPr>
    </w:p>
    <w:p w14:paraId="24B62ADA">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val="en-US" w:eastAsia="zh-CN" w:bidi="ar-SA"/>
          <w14:ligatures w14:val="none"/>
        </w:rPr>
        <w:t>一、</w:t>
      </w:r>
      <w:r>
        <w:rPr>
          <w:rFonts w:hint="eastAsia" w:ascii="仿宋" w:hAnsi="仿宋" w:eastAsia="仿宋" w:cs="Times New Roman"/>
          <w:color w:val="000000"/>
          <w:kern w:val="0"/>
          <w:sz w:val="28"/>
          <w:szCs w:val="28"/>
          <w:lang w:eastAsia="zh-CN" w:bidi="ar-SA"/>
          <w14:ligatures w14:val="none"/>
        </w:rPr>
        <w:t>需求xxx</w:t>
      </w:r>
    </w:p>
    <w:p w14:paraId="66E0DA82">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1．需求xxx</w:t>
      </w:r>
    </w:p>
    <w:p w14:paraId="0EA014FE">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回复：（是/否完全响应）</w:t>
      </w:r>
    </w:p>
    <w:p w14:paraId="3867EE21">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具体方案：</w:t>
      </w:r>
    </w:p>
    <w:p w14:paraId="3E968AEC">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2.需求xxx</w:t>
      </w:r>
    </w:p>
    <w:p w14:paraId="6AB6B6EE">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回复：（是/否完全响应）</w:t>
      </w:r>
    </w:p>
    <w:p w14:paraId="2B00A4A3">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具体方案：</w:t>
      </w:r>
    </w:p>
    <w:p w14:paraId="1DA5F5A8">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3.需求xxx</w:t>
      </w:r>
    </w:p>
    <w:p w14:paraId="755BB01D">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回复：（是/否完全响应）</w:t>
      </w:r>
    </w:p>
    <w:p w14:paraId="71097993">
      <w:pPr>
        <w:keepNext w:val="0"/>
        <w:keepLines w:val="0"/>
        <w:pageBreakBefore w:val="0"/>
        <w:widowControl/>
        <w:kinsoku/>
        <w:wordWrap/>
        <w:overflowPunct/>
        <w:topLinePunct w:val="0"/>
        <w:autoSpaceDE/>
        <w:autoSpaceDN/>
        <w:bidi w:val="0"/>
        <w:adjustRightInd w:val="0"/>
        <w:snapToGrid w:val="0"/>
        <w:spacing w:after="156" w:afterLines="50" w:line="560" w:lineRule="exact"/>
        <w:ind w:firstLine="560" w:firstLineChars="200"/>
        <w:jc w:val="both"/>
        <w:textAlignment w:val="auto"/>
        <w:rPr>
          <w:rFonts w:ascii="仿宋" w:hAnsi="仿宋" w:eastAsia="仿宋" w:cs="Times New Roman"/>
          <w:color w:val="000000"/>
          <w:kern w:val="0"/>
          <w:sz w:val="28"/>
          <w:szCs w:val="28"/>
          <w:lang w:eastAsia="zh-CN" w:bidi="ar-SA"/>
          <w14:ligatures w14:val="none"/>
        </w:rPr>
      </w:pPr>
      <w:r>
        <w:rPr>
          <w:rFonts w:hint="eastAsia" w:ascii="仿宋" w:hAnsi="仿宋" w:eastAsia="仿宋" w:cs="Times New Roman"/>
          <w:color w:val="000000"/>
          <w:kern w:val="0"/>
          <w:sz w:val="28"/>
          <w:szCs w:val="28"/>
          <w:lang w:eastAsia="zh-CN" w:bidi="ar-SA"/>
          <w14:ligatures w14:val="none"/>
        </w:rPr>
        <w:t>具体方案：</w:t>
      </w:r>
    </w:p>
    <w:p w14:paraId="7B90FB69">
      <w:pPr>
        <w:spacing w:before="120" w:after="120" w:line="288" w:lineRule="auto"/>
        <w:ind w:firstLine="560" w:firstLineChars="200"/>
        <w:jc w:val="left"/>
        <w:rPr>
          <w:rFonts w:hint="eastAsia" w:ascii="宋体" w:hAnsi="宋体" w:eastAsia="宋体" w:cs="宋体"/>
          <w:color w:val="auto"/>
          <w:sz w:val="24"/>
          <w:szCs w:val="24"/>
        </w:rPr>
      </w:pPr>
      <w:r>
        <w:rPr>
          <w:rFonts w:ascii="仿宋" w:hAnsi="仿宋" w:eastAsia="仿宋" w:cs="Times New Roman"/>
          <w:color w:val="000000"/>
          <w:kern w:val="0"/>
          <w:sz w:val="28"/>
          <w:szCs w:val="28"/>
          <w:lang w:val="en-US" w:eastAsia="zh-CN" w:bidi="ar-SA"/>
          <w14:ligatures w14:val="none"/>
        </w:rPr>
        <w:t>二、其它</w:t>
      </w:r>
    </w:p>
    <w:sectPr>
      <w:footerReference r:id="rId3" w:type="default"/>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8768942-D53C-461A-8B22-CBB15339F08A}"/>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CB0B8ABC-FCDF-49EE-851D-1C509BD261EB}"/>
  </w:font>
  <w:font w:name="方正仿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embedRegular r:id="rId3" w:fontKey="{CF280565-BD32-424C-9B64-128EFB5E4436}"/>
  </w:font>
  <w:font w:name="方正小标宋_GBK">
    <w:panose1 w:val="03000509000000000000"/>
    <w:charset w:val="86"/>
    <w:family w:val="script"/>
    <w:pitch w:val="default"/>
    <w:sig w:usb0="00000001" w:usb1="080E0000" w:usb2="00000000" w:usb3="00000000" w:csb0="00040000" w:csb1="00000000"/>
    <w:embedRegular r:id="rId4" w:fontKey="{0AB946FB-100C-4F2D-8F13-844CDBE5A640}"/>
  </w:font>
  <w:font w:name="KSOFE4500885">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AE56C">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6A11EC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6A11EC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DE6740"/>
    <w:multiLevelType w:val="multilevel"/>
    <w:tmpl w:val="21DE6740"/>
    <w:lvl w:ilvl="0" w:tentative="0">
      <w:start w:val="1"/>
      <w:numFmt w:val="chineseCountingThousand"/>
      <w:suff w:val="nothing"/>
      <w:lvlText w:val="%1、"/>
      <w:lvlJc w:val="left"/>
      <w:pPr>
        <w:ind w:left="0" w:firstLine="0"/>
      </w:pPr>
      <w:rPr>
        <w:rFonts w:hint="default" w:ascii="Times New Roman" w:hAnsi="Times New Roman" w:eastAsia="黑体" w:cs="Times New Roman"/>
        <w:b/>
        <w:i w:val="0"/>
        <w:iCs w:val="0"/>
        <w:caps w:val="0"/>
        <w:smallCaps w:val="0"/>
        <w:strike w:val="0"/>
        <w:dstrike w:val="0"/>
        <w:color w:val="000000"/>
        <w:spacing w:val="0"/>
        <w:kern w:val="0"/>
        <w:position w:val="0"/>
        <w:sz w:val="30"/>
        <w:u w:val="none"/>
        <w:vertAlign w:val="baseline"/>
      </w:rPr>
    </w:lvl>
    <w:lvl w:ilvl="1" w:tentative="0">
      <w:start w:val="1"/>
      <w:numFmt w:val="decimal"/>
      <w:pStyle w:val="3"/>
      <w:isLgl/>
      <w:suff w:val="nothing"/>
      <w:lvlText w:val="%1.%2"/>
      <w:lvlJc w:val="left"/>
      <w:pPr>
        <w:ind w:left="0" w:firstLine="0"/>
      </w:pPr>
      <w:rPr>
        <w:rFonts w:hint="default" w:ascii="Times New Roman" w:hAnsi="Times New Roman" w:eastAsia="黑体" w:cs="Times New Roman"/>
        <w:b/>
        <w:bCs/>
        <w:i w:val="0"/>
        <w:iCs w:val="0"/>
        <w:caps w:val="0"/>
        <w:smallCaps w:val="0"/>
        <w:strike w:val="0"/>
        <w:dstrike w:val="0"/>
        <w:color w:val="000000"/>
        <w:spacing w:val="0"/>
        <w:position w:val="0"/>
        <w:sz w:val="30"/>
        <w:szCs w:val="32"/>
        <w:u w:val="none"/>
        <w:vertAlign w:val="baseline"/>
      </w:rPr>
    </w:lvl>
    <w:lvl w:ilvl="2" w:tentative="0">
      <w:start w:val="1"/>
      <w:numFmt w:val="decimal"/>
      <w:isLgl/>
      <w:suff w:val="nothing"/>
      <w:lvlText w:val="%1.%2.%3"/>
      <w:lvlJc w:val="left"/>
      <w:pPr>
        <w:ind w:left="0" w:firstLine="0"/>
      </w:pPr>
      <w:rPr>
        <w:rFonts w:hint="default" w:ascii="Times New Roman" w:hAnsi="Times New Roman" w:eastAsia="黑体" w:cs="Times New Roman"/>
        <w:b/>
        <w:bCs/>
        <w:i w:val="0"/>
        <w:sz w:val="28"/>
        <w:szCs w:val="28"/>
      </w:rPr>
    </w:lvl>
    <w:lvl w:ilvl="3" w:tentative="0">
      <w:start w:val="1"/>
      <w:numFmt w:val="decimal"/>
      <w:isLgl/>
      <w:suff w:val="nothing"/>
      <w:lvlText w:val="%1.%2.%3.%4"/>
      <w:lvlJc w:val="left"/>
      <w:pPr>
        <w:ind w:left="0" w:firstLine="0"/>
      </w:pPr>
      <w:rPr>
        <w:rFonts w:hint="default" w:ascii="Times New Roman" w:hAnsi="Times New Roman" w:eastAsia="黑体" w:cs="Times New Roman"/>
        <w:b/>
        <w:i w:val="0"/>
        <w:iCs w:val="0"/>
        <w:caps w:val="0"/>
        <w:smallCaps w:val="0"/>
        <w:strike w:val="0"/>
        <w:dstrike w:val="0"/>
        <w:color w:val="000000"/>
        <w:spacing w:val="0"/>
        <w:kern w:val="0"/>
        <w:position w:val="0"/>
        <w:sz w:val="28"/>
        <w:u w:val="none"/>
        <w:vertAlign w:val="baseline"/>
      </w:rPr>
    </w:lvl>
    <w:lvl w:ilvl="4" w:tentative="0">
      <w:start w:val="1"/>
      <w:numFmt w:val="decimal"/>
      <w:isLgl/>
      <w:suff w:val="nothing"/>
      <w:lvlText w:val="%1.%2.%3.%4.%5"/>
      <w:lvlJc w:val="left"/>
      <w:pPr>
        <w:ind w:left="0" w:firstLine="0"/>
      </w:pPr>
      <w:rPr>
        <w:rFonts w:hint="default" w:ascii="Times New Roman" w:hAnsi="Times New Roman" w:eastAsia="黑体" w:cs="Times New Roman"/>
        <w:b/>
        <w:i w:val="0"/>
        <w:iCs w:val="0"/>
        <w:caps w:val="0"/>
        <w:smallCaps w:val="0"/>
        <w:strike w:val="0"/>
        <w:dstrike w:val="0"/>
        <w:color w:val="000000"/>
        <w:spacing w:val="0"/>
        <w:position w:val="0"/>
        <w:sz w:val="28"/>
        <w:u w:val="none"/>
        <w:vertAlign w:val="baseline"/>
      </w:rPr>
    </w:lvl>
    <w:lvl w:ilvl="5" w:tentative="0">
      <w:start w:val="1"/>
      <w:numFmt w:val="decimal"/>
      <w:isLgl/>
      <w:suff w:val="nothing"/>
      <w:lvlText w:val="%1.%2.%3.%4.%5.%6"/>
      <w:lvlJc w:val="left"/>
      <w:pPr>
        <w:ind w:left="0" w:firstLine="0"/>
      </w:pPr>
      <w:rPr>
        <w:rFonts w:hint="default" w:ascii="Times New Roman" w:hAnsi="Times New Roman" w:eastAsia="黑体" w:cs="Times New Roman"/>
        <w:b/>
        <w:bCs/>
        <w:i w:val="0"/>
        <w:iCs w:val="0"/>
        <w:caps w:val="0"/>
        <w:smallCaps w:val="0"/>
        <w:strike w:val="0"/>
        <w:dstrike w:val="0"/>
        <w:color w:val="000000"/>
        <w:spacing w:val="0"/>
        <w:position w:val="0"/>
        <w:sz w:val="28"/>
        <w:u w:val="none"/>
        <w:vertAlign w:val="baseline"/>
      </w:rPr>
    </w:lvl>
    <w:lvl w:ilvl="6" w:tentative="0">
      <w:start w:val="1"/>
      <w:numFmt w:val="decimal"/>
      <w:isLgl/>
      <w:suff w:val="nothing"/>
      <w:lvlText w:val="%1.%2.%3.%4.%5.%6.%7"/>
      <w:lvlJc w:val="left"/>
      <w:pPr>
        <w:ind w:left="0" w:firstLine="0"/>
      </w:pPr>
      <w:rPr>
        <w:rFonts w:hint="default" w:ascii="Times New Roman" w:hAnsi="Times New Roman" w:eastAsia="黑体" w:cs="Times New Roman"/>
        <w:b/>
        <w:bCs/>
        <w:i w:val="0"/>
        <w:iCs w:val="0"/>
        <w:caps w:val="0"/>
        <w:smallCaps w:val="0"/>
        <w:strike w:val="0"/>
        <w:dstrike w:val="0"/>
        <w:color w:val="000000"/>
        <w:spacing w:val="0"/>
        <w:position w:val="0"/>
        <w:sz w:val="28"/>
        <w:szCs w:val="28"/>
        <w:u w:val="none"/>
        <w:vertAlign w:val="baseline"/>
      </w:rPr>
    </w:lvl>
    <w:lvl w:ilvl="7" w:tentative="0">
      <w:start w:val="1"/>
      <w:numFmt w:val="decimal"/>
      <w:isLgl/>
      <w:suff w:val="nothing"/>
      <w:lvlText w:val="%1.%2.%3.%4.%5.%6.%7.%8"/>
      <w:lvlJc w:val="left"/>
      <w:pPr>
        <w:ind w:left="0" w:firstLine="0"/>
      </w:pPr>
      <w:rPr>
        <w:rFonts w:hint="default" w:ascii="Times New Roman" w:hAnsi="Times New Roman" w:eastAsia="黑体" w:cs="Times New Roman"/>
        <w:b/>
        <w:i w:val="0"/>
        <w:sz w:val="28"/>
      </w:rPr>
    </w:lvl>
    <w:lvl w:ilvl="8" w:tentative="0">
      <w:start w:val="1"/>
      <w:numFmt w:val="decimal"/>
      <w:isLgl/>
      <w:suff w:val="nothing"/>
      <w:lvlText w:val="%1.%2.%3.%4.%5.%6.%7.%8.%9"/>
      <w:lvlJc w:val="left"/>
      <w:pPr>
        <w:ind w:left="0" w:firstLine="0"/>
      </w:pPr>
      <w:rPr>
        <w:rFonts w:hint="default" w:ascii="Times New Roman" w:hAnsi="Times New Roman" w:eastAsia="黑体"/>
        <w:b/>
        <w:i w:val="0"/>
        <w:sz w:val="2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A34"/>
    <w:rsid w:val="00464A67"/>
    <w:rsid w:val="007D65A6"/>
    <w:rsid w:val="00931A34"/>
    <w:rsid w:val="00C234B5"/>
    <w:rsid w:val="00C84128"/>
    <w:rsid w:val="02C40969"/>
    <w:rsid w:val="02C539CE"/>
    <w:rsid w:val="02D0793F"/>
    <w:rsid w:val="05412308"/>
    <w:rsid w:val="09C33728"/>
    <w:rsid w:val="0A334D52"/>
    <w:rsid w:val="0D197B03"/>
    <w:rsid w:val="0DDB57E2"/>
    <w:rsid w:val="11A92A0A"/>
    <w:rsid w:val="16A50D85"/>
    <w:rsid w:val="219C2D85"/>
    <w:rsid w:val="233D5EA2"/>
    <w:rsid w:val="2A4A6C98"/>
    <w:rsid w:val="2D652BC5"/>
    <w:rsid w:val="2F913897"/>
    <w:rsid w:val="305331A8"/>
    <w:rsid w:val="33DF6B01"/>
    <w:rsid w:val="39C72F4B"/>
    <w:rsid w:val="3A3556CD"/>
    <w:rsid w:val="43ED0DC6"/>
    <w:rsid w:val="449E2B67"/>
    <w:rsid w:val="467B090B"/>
    <w:rsid w:val="4BA40904"/>
    <w:rsid w:val="4BDE5BC4"/>
    <w:rsid w:val="526112FD"/>
    <w:rsid w:val="53BB4A3D"/>
    <w:rsid w:val="53FF492A"/>
    <w:rsid w:val="558772CD"/>
    <w:rsid w:val="5A421A14"/>
    <w:rsid w:val="5BC8419B"/>
    <w:rsid w:val="5CD8040E"/>
    <w:rsid w:val="617971FD"/>
    <w:rsid w:val="63BF01A1"/>
    <w:rsid w:val="694A4441"/>
    <w:rsid w:val="7100355A"/>
    <w:rsid w:val="71722787"/>
    <w:rsid w:val="76AF3B36"/>
    <w:rsid w:val="771218C6"/>
    <w:rsid w:val="77887588"/>
    <w:rsid w:val="77BA5B9C"/>
    <w:rsid w:val="7F3B68AE"/>
    <w:rsid w:val="7FF30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next w:val="1"/>
    <w:unhideWhenUsed/>
    <w:qFormat/>
    <w:uiPriority w:val="0"/>
    <w:pPr>
      <w:keepNext/>
      <w:keepLines/>
      <w:numPr>
        <w:ilvl w:val="1"/>
        <w:numId w:val="1"/>
      </w:numPr>
      <w:spacing w:before="120" w:after="120" w:line="360" w:lineRule="auto"/>
      <w:outlineLvl w:val="1"/>
    </w:pPr>
    <w:rPr>
      <w:rFonts w:eastAsia="黑体" w:asciiTheme="majorHAnsi" w:hAnsiTheme="majorHAnsi" w:cstheme="majorBidi"/>
      <w:b/>
      <w:bCs/>
      <w:sz w:val="28"/>
      <w:szCs w:val="3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Body Text 2"/>
    <w:basedOn w:val="1"/>
    <w:unhideWhenUsed/>
    <w:qFormat/>
    <w:uiPriority w:val="99"/>
    <w:pPr>
      <w:spacing w:after="120" w:line="480" w:lineRule="auto"/>
    </w:pPr>
  </w:style>
  <w:style w:type="character" w:styleId="8">
    <w:name w:val="Strong"/>
    <w:basedOn w:val="7"/>
    <w:qFormat/>
    <w:uiPriority w:val="0"/>
    <w:rPr>
      <w:b/>
    </w:rPr>
  </w:style>
  <w:style w:type="paragraph" w:customStyle="1" w:styleId="9">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7954</Words>
  <Characters>8343</Characters>
  <Lines>191</Lines>
  <Paragraphs>210</Paragraphs>
  <TotalTime>4</TotalTime>
  <ScaleCrop>false</ScaleCrop>
  <LinksUpToDate>false</LinksUpToDate>
  <CharactersWithSpaces>8421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2026-08-25T12:56:00Z</dcterms:created>
  <dc:creator>Apache POI</dc:creator>
  <cp:lastModifiedBy>陈柯岚</cp:lastModifiedBy>
  <dcterms:modified xsi:type="dcterms:W3CDTF">2026-08-26T06:59:33Z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{"Label":"1","ContentProducer":"001191110102MACQD9K64010000","ProduceID":"7677952419280817106","ReservedCode1":"","ContentPropagator":"","PropagateID":"","ReservedCode2":""}</vt:lpwstr>
  </property>
  <property fmtid="{D5CDD505-2E9C-101B-9397-08002B2CF9AE}" pid="3" name="KSOTemplateDocerSaveRecord">
    <vt:lpwstr>eyJoZGlkIjoiNzFlMjMwZGJkMDk0NjRmNTA4MmJkNjU5M2Y3ZjRhZmEiLCJ1c2VySWQiOiIxMDEwNTk2NjIzIn0=</vt:lpwstr>
  </property>
  <property fmtid="{D5CDD505-2E9C-101B-9397-08002B2CF9AE}" pid="4" name="KSOProductBuildVer">
    <vt:lpwstr>2052-12.1.0.28043</vt:lpwstr>
  </property>
  <property fmtid="{D5CDD505-2E9C-101B-9397-08002B2CF9AE}" pid="5" name="ICV">
    <vt:lpwstr>541126EE61AE471F9AC7639910308FC8_13</vt:lpwstr>
  </property>
</Properties>
</file>