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AC4C7">
      <w:pPr>
        <w:jc w:val="center"/>
        <w:rPr>
          <w:rFonts w:hint="eastAsia" w:ascii="仿宋_GB2312" w:hAnsi="仿宋_GB2312" w:eastAsia="方正小标宋简体"/>
          <w:color w:val="auto"/>
          <w:sz w:val="36"/>
          <w:szCs w:val="44"/>
          <w:lang w:eastAsia="zh-CN"/>
        </w:rPr>
      </w:pPr>
      <w:r>
        <w:rPr>
          <w:rFonts w:ascii="仿宋_GB2312" w:hAnsi="仿宋_GB2312" w:eastAsia="方正小标宋简体"/>
          <w:color w:val="auto"/>
          <w:sz w:val="36"/>
          <w:szCs w:val="44"/>
        </w:rPr>
        <w:t>眼科</w:t>
      </w:r>
      <w:r>
        <w:rPr>
          <w:rFonts w:hint="eastAsia" w:ascii="仿宋_GB2312" w:hAnsi="仿宋_GB2312" w:eastAsia="方正小标宋简体"/>
          <w:color w:val="auto"/>
          <w:sz w:val="36"/>
          <w:szCs w:val="44"/>
        </w:rPr>
        <w:t>数智诊疗平台建设参数</w:t>
      </w:r>
      <w:r>
        <w:rPr>
          <w:rFonts w:hint="eastAsia" w:ascii="仿宋_GB2312" w:hAnsi="仿宋_GB2312" w:eastAsia="方正小标宋简体"/>
          <w:color w:val="auto"/>
          <w:sz w:val="36"/>
          <w:szCs w:val="44"/>
          <w:lang w:eastAsia="zh-CN"/>
        </w:rPr>
        <w:t>（</w:t>
      </w:r>
      <w:r>
        <w:rPr>
          <w:rFonts w:hint="eastAsia" w:ascii="仿宋_GB2312" w:hAnsi="仿宋_GB2312" w:eastAsia="方正小标宋简体"/>
          <w:color w:val="auto"/>
          <w:sz w:val="36"/>
          <w:szCs w:val="44"/>
          <w:lang w:val="en-US" w:eastAsia="zh-CN"/>
        </w:rPr>
        <w:t>第三次</w:t>
      </w:r>
      <w:r>
        <w:rPr>
          <w:rFonts w:hint="eastAsia" w:ascii="仿宋_GB2312" w:hAnsi="仿宋_GB2312" w:eastAsia="方正小标宋简体"/>
          <w:color w:val="auto"/>
          <w:sz w:val="36"/>
          <w:szCs w:val="44"/>
          <w:lang w:eastAsia="zh-CN"/>
        </w:rPr>
        <w:t>）</w:t>
      </w:r>
    </w:p>
    <w:p w14:paraId="05DBDC64">
      <w:pPr>
        <w:ind w:firstLine="570"/>
        <w:rPr>
          <w:rFonts w:hint="eastAsia" w:ascii="仿宋_GB2312" w:hAnsi="仿宋_GB2312" w:cs="仿宋_GB2312"/>
          <w:b/>
          <w:bCs/>
          <w:color w:val="auto"/>
          <w:sz w:val="28"/>
          <w:szCs w:val="28"/>
        </w:rPr>
      </w:pPr>
      <w:r>
        <w:rPr>
          <w:rFonts w:ascii="仿宋_GB2312" w:hAnsi="仿宋_GB2312" w:cs="仿宋_GB2312"/>
          <w:b/>
          <w:bCs/>
          <w:color w:val="auto"/>
          <w:sz w:val="28"/>
          <w:szCs w:val="28"/>
        </w:rPr>
        <w:t>一、项目总体需求与项目概述</w:t>
      </w:r>
    </w:p>
    <w:p w14:paraId="5EA2907D">
      <w:pPr>
        <w:ind w:firstLine="570"/>
        <w:rPr>
          <w:rFonts w:hint="eastAsia" w:ascii="仿宋_GB2312" w:hAnsi="仿宋_GB2312" w:cs="仿宋_GB2312"/>
          <w:color w:val="auto"/>
          <w:sz w:val="28"/>
          <w:szCs w:val="28"/>
        </w:rPr>
      </w:pPr>
      <w:r>
        <w:rPr>
          <w:rFonts w:hint="eastAsia" w:ascii="仿宋_GB2312" w:hAnsi="仿宋_GB2312" w:cs="仿宋_GB2312"/>
          <w:color w:val="auto"/>
          <w:sz w:val="28"/>
          <w:szCs w:val="28"/>
        </w:rPr>
        <w:t>1、</w:t>
      </w:r>
      <w:r>
        <w:rPr>
          <w:rFonts w:ascii="仿宋_GB2312" w:hAnsi="仿宋_GB2312" w:cs="仿宋_GB2312"/>
          <w:color w:val="auto"/>
          <w:sz w:val="28"/>
          <w:szCs w:val="28"/>
        </w:rPr>
        <w:t>项目总体要求：</w:t>
      </w:r>
    </w:p>
    <w:tbl>
      <w:tblPr>
        <w:tblStyle w:val="19"/>
        <w:tblW w:w="8213" w:type="dxa"/>
        <w:tblInd w:w="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2038"/>
        <w:gridCol w:w="5350"/>
      </w:tblGrid>
      <w:tr w14:paraId="17A65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 w:hRule="atLeast"/>
        </w:trPr>
        <w:tc>
          <w:tcPr>
            <w:tcW w:w="825" w:type="dxa"/>
            <w:vAlign w:val="center"/>
          </w:tcPr>
          <w:p w14:paraId="1D8DF30A">
            <w:pPr>
              <w:snapToGrid w:val="0"/>
              <w:contextualSpacing/>
              <w:jc w:val="center"/>
              <w:rPr>
                <w:rFonts w:hint="eastAsia" w:ascii="仿宋_GB2312" w:hAnsi="仿宋_GB2312"/>
                <w:b/>
                <w:color w:val="auto"/>
                <w:sz w:val="28"/>
                <w:szCs w:val="28"/>
              </w:rPr>
            </w:pPr>
            <w:r>
              <w:rPr>
                <w:rFonts w:ascii="仿宋_GB2312" w:hAnsi="仿宋_GB2312"/>
                <w:b/>
                <w:color w:val="auto"/>
                <w:sz w:val="28"/>
                <w:szCs w:val="28"/>
              </w:rPr>
              <w:t>序号</w:t>
            </w:r>
          </w:p>
        </w:tc>
        <w:tc>
          <w:tcPr>
            <w:tcW w:w="2038" w:type="dxa"/>
            <w:vAlign w:val="center"/>
          </w:tcPr>
          <w:p w14:paraId="69B18220">
            <w:pPr>
              <w:snapToGrid w:val="0"/>
              <w:contextualSpacing/>
              <w:jc w:val="center"/>
              <w:rPr>
                <w:rFonts w:hint="eastAsia" w:ascii="仿宋_GB2312" w:hAnsi="仿宋_GB2312"/>
                <w:b/>
                <w:color w:val="auto"/>
                <w:sz w:val="28"/>
                <w:szCs w:val="28"/>
              </w:rPr>
            </w:pPr>
            <w:r>
              <w:rPr>
                <w:rFonts w:ascii="仿宋_GB2312" w:hAnsi="仿宋_GB2312"/>
                <w:b/>
                <w:color w:val="auto"/>
                <w:sz w:val="28"/>
                <w:szCs w:val="28"/>
              </w:rPr>
              <w:t>要求</w:t>
            </w:r>
          </w:p>
        </w:tc>
        <w:tc>
          <w:tcPr>
            <w:tcW w:w="5350" w:type="dxa"/>
            <w:vAlign w:val="center"/>
          </w:tcPr>
          <w:p w14:paraId="59D9E801">
            <w:pPr>
              <w:snapToGrid w:val="0"/>
              <w:contextualSpacing/>
              <w:jc w:val="center"/>
              <w:rPr>
                <w:rFonts w:hint="eastAsia" w:ascii="仿宋_GB2312" w:hAnsi="仿宋_GB2312"/>
                <w:b/>
                <w:color w:val="auto"/>
                <w:sz w:val="28"/>
                <w:szCs w:val="28"/>
              </w:rPr>
            </w:pPr>
            <w:r>
              <w:rPr>
                <w:rFonts w:ascii="仿宋_GB2312" w:hAnsi="仿宋_GB2312"/>
                <w:b/>
                <w:color w:val="auto"/>
                <w:sz w:val="28"/>
                <w:szCs w:val="28"/>
              </w:rPr>
              <w:t>具体内容</w:t>
            </w:r>
          </w:p>
        </w:tc>
      </w:tr>
      <w:tr w14:paraId="2C403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825" w:type="dxa"/>
            <w:vAlign w:val="center"/>
          </w:tcPr>
          <w:p w14:paraId="640403D7">
            <w:pPr>
              <w:snapToGrid w:val="0"/>
              <w:contextualSpacing/>
              <w:jc w:val="center"/>
              <w:rPr>
                <w:rFonts w:hint="eastAsia" w:ascii="仿宋_GB2312" w:hAnsi="仿宋_GB2312"/>
                <w:color w:val="auto"/>
                <w:sz w:val="28"/>
                <w:szCs w:val="28"/>
              </w:rPr>
            </w:pPr>
            <w:r>
              <w:rPr>
                <w:rFonts w:ascii="仿宋_GB2312" w:hAnsi="仿宋_GB2312"/>
                <w:color w:val="auto"/>
                <w:sz w:val="28"/>
                <w:szCs w:val="28"/>
              </w:rPr>
              <w:t>1</w:t>
            </w:r>
          </w:p>
        </w:tc>
        <w:tc>
          <w:tcPr>
            <w:tcW w:w="2038" w:type="dxa"/>
            <w:vAlign w:val="center"/>
          </w:tcPr>
          <w:p w14:paraId="0914480B">
            <w:pPr>
              <w:snapToGrid w:val="0"/>
              <w:contextualSpacing/>
              <w:jc w:val="center"/>
              <w:rPr>
                <w:rFonts w:hint="eastAsia" w:ascii="仿宋_GB2312" w:hAnsi="仿宋_GB2312"/>
                <w:color w:val="auto"/>
                <w:sz w:val="28"/>
                <w:szCs w:val="28"/>
                <w:highlight w:val="yellow"/>
              </w:rPr>
            </w:pPr>
            <w:r>
              <w:rPr>
                <w:rFonts w:ascii="仿宋_GB2312" w:hAnsi="仿宋_GB2312"/>
                <w:color w:val="auto"/>
                <w:sz w:val="28"/>
                <w:szCs w:val="28"/>
              </w:rPr>
              <w:t>系统</w:t>
            </w:r>
          </w:p>
        </w:tc>
        <w:tc>
          <w:tcPr>
            <w:tcW w:w="5350" w:type="dxa"/>
            <w:vAlign w:val="center"/>
          </w:tcPr>
          <w:p w14:paraId="6A1C87EA">
            <w:pPr>
              <w:snapToGrid w:val="0"/>
              <w:contextualSpacing/>
              <w:rPr>
                <w:rFonts w:hint="eastAsia" w:ascii="仿宋_GB2312" w:hAnsi="仿宋_GB2312"/>
                <w:color w:val="auto"/>
                <w:sz w:val="28"/>
                <w:szCs w:val="28"/>
              </w:rPr>
            </w:pPr>
            <w:r>
              <w:rPr>
                <w:rFonts w:hint="eastAsia" w:ascii="仿宋_GB2312" w:hAnsi="仿宋_GB2312"/>
                <w:color w:val="auto"/>
                <w:sz w:val="28"/>
                <w:szCs w:val="28"/>
              </w:rPr>
              <w:t>系统应为 B/S 浏览器架构，无需安装客户端。</w:t>
            </w:r>
          </w:p>
          <w:p w14:paraId="63970581">
            <w:pPr>
              <w:snapToGrid w:val="0"/>
              <w:contextualSpacing/>
              <w:rPr>
                <w:rFonts w:hint="eastAsia" w:ascii="仿宋_GB2312" w:hAnsi="仿宋_GB2312"/>
                <w:color w:val="auto"/>
                <w:sz w:val="28"/>
                <w:szCs w:val="28"/>
              </w:rPr>
            </w:pPr>
            <w:r>
              <w:rPr>
                <w:rFonts w:hint="eastAsia" w:ascii="仿宋_GB2312" w:hAnsi="仿宋_GB2312"/>
                <w:color w:val="auto"/>
                <w:sz w:val="28"/>
                <w:szCs w:val="28"/>
              </w:rPr>
              <w:t>系统支持在线用户数≥100 ，并发用户数≥30 。普通业务页面平均响应时间≤5s；患者检索、报告查询响应时间≤5s。</w:t>
            </w:r>
            <w:r>
              <w:rPr>
                <w:rFonts w:hint="eastAsia"/>
                <w:color w:val="auto"/>
                <w:sz w:val="28"/>
                <w:szCs w:val="28"/>
              </w:rPr>
              <w:t>首幅影像显示时间：</w:t>
            </w:r>
            <w:r>
              <w:rPr>
                <w:rFonts w:hint="eastAsia" w:ascii="仿宋_GB2312" w:hAnsi="仿宋_GB2312"/>
                <w:color w:val="auto"/>
                <w:sz w:val="28"/>
                <w:szCs w:val="28"/>
              </w:rPr>
              <w:t>≤5</w:t>
            </w:r>
            <w:r>
              <w:rPr>
                <w:rFonts w:hint="eastAsia"/>
                <w:color w:val="auto"/>
                <w:sz w:val="28"/>
                <w:szCs w:val="28"/>
              </w:rPr>
              <w:t>s。同屏影像数量:</w:t>
            </w:r>
            <w:r>
              <w:rPr>
                <w:rFonts w:hint="eastAsia" w:ascii="仿宋_GB2312" w:hAnsi="仿宋_GB2312"/>
                <w:color w:val="auto"/>
                <w:sz w:val="28"/>
                <w:szCs w:val="28"/>
              </w:rPr>
              <w:t>≥</w:t>
            </w:r>
            <w:r>
              <w:rPr>
                <w:rFonts w:hint="eastAsia"/>
                <w:color w:val="auto"/>
                <w:sz w:val="28"/>
                <w:szCs w:val="28"/>
              </w:rPr>
              <w:t>8张。单次影像上传大小支持：</w:t>
            </w:r>
            <w:r>
              <w:rPr>
                <w:rFonts w:hint="eastAsia" w:ascii="仿宋_GB2312" w:hAnsi="仿宋_GB2312"/>
                <w:color w:val="auto"/>
                <w:sz w:val="28"/>
                <w:szCs w:val="28"/>
              </w:rPr>
              <w:t>≥</w:t>
            </w:r>
            <w:r>
              <w:rPr>
                <w:rFonts w:hint="eastAsia"/>
                <w:color w:val="auto"/>
                <w:sz w:val="28"/>
                <w:szCs w:val="28"/>
              </w:rPr>
              <w:t>50MB；</w:t>
            </w:r>
          </w:p>
          <w:p w14:paraId="33BB1C7A">
            <w:pPr>
              <w:snapToGrid w:val="0"/>
              <w:contextualSpacing/>
              <w:rPr>
                <w:rFonts w:hint="eastAsia" w:ascii="仿宋_GB2312" w:hAnsi="仿宋_GB2312"/>
                <w:color w:val="auto"/>
                <w:sz w:val="28"/>
                <w:szCs w:val="28"/>
                <w:highlight w:val="yellow"/>
              </w:rPr>
            </w:pPr>
            <w:r>
              <w:rPr>
                <w:rFonts w:hint="eastAsia" w:ascii="仿宋_GB2312" w:hAnsi="仿宋_GB2312"/>
                <w:color w:val="auto"/>
                <w:sz w:val="28"/>
                <w:szCs w:val="28"/>
              </w:rPr>
              <w:t>系统实现眼科检查业务的数字化管理，以患者基本信息为主线，覆盖眼科检查从HIS开单、检查执行、报告编写、影像调阅的全流程闭环管理。系统由</w:t>
            </w:r>
            <w:r>
              <w:rPr>
                <w:rFonts w:ascii="仿宋_GB2312" w:hAnsi="仿宋_GB2312"/>
                <w:color w:val="auto"/>
                <w:sz w:val="28"/>
                <w:szCs w:val="28"/>
              </w:rPr>
              <w:t>眼科检查模块和眼科影像调阅模块两大核心模块构成，模块间数据紧密关联，全部实现电子化数据流转。</w:t>
            </w:r>
          </w:p>
        </w:tc>
      </w:tr>
      <w:tr w14:paraId="2EFF3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825" w:type="dxa"/>
            <w:vAlign w:val="center"/>
          </w:tcPr>
          <w:p w14:paraId="375A0B38">
            <w:pPr>
              <w:snapToGrid w:val="0"/>
              <w:contextualSpacing/>
              <w:jc w:val="center"/>
              <w:rPr>
                <w:rFonts w:hint="eastAsia" w:ascii="仿宋_GB2312" w:hAnsi="仿宋_GB2312"/>
                <w:color w:val="auto"/>
                <w:sz w:val="28"/>
                <w:szCs w:val="28"/>
              </w:rPr>
            </w:pPr>
            <w:r>
              <w:rPr>
                <w:rFonts w:ascii="仿宋_GB2312" w:hAnsi="仿宋_GB2312"/>
                <w:color w:val="auto"/>
                <w:sz w:val="28"/>
                <w:szCs w:val="28"/>
              </w:rPr>
              <w:t>2</w:t>
            </w:r>
          </w:p>
        </w:tc>
        <w:tc>
          <w:tcPr>
            <w:tcW w:w="2038" w:type="dxa"/>
            <w:vAlign w:val="center"/>
          </w:tcPr>
          <w:p w14:paraId="146D27FB">
            <w:pPr>
              <w:snapToGrid w:val="0"/>
              <w:contextualSpacing/>
              <w:jc w:val="center"/>
              <w:rPr>
                <w:rFonts w:hint="eastAsia" w:ascii="仿宋_GB2312" w:hAnsi="仿宋_GB2312"/>
                <w:color w:val="auto"/>
                <w:sz w:val="28"/>
                <w:szCs w:val="28"/>
              </w:rPr>
            </w:pPr>
            <w:r>
              <w:rPr>
                <w:rFonts w:ascii="仿宋_GB2312" w:hAnsi="仿宋_GB2312"/>
                <w:color w:val="auto"/>
                <w:sz w:val="28"/>
                <w:szCs w:val="28"/>
              </w:rPr>
              <w:t>工期</w:t>
            </w:r>
          </w:p>
        </w:tc>
        <w:tc>
          <w:tcPr>
            <w:tcW w:w="5350" w:type="dxa"/>
            <w:vAlign w:val="center"/>
          </w:tcPr>
          <w:p w14:paraId="3AA38A59">
            <w:pPr>
              <w:snapToGrid w:val="0"/>
              <w:contextualSpacing/>
              <w:rPr>
                <w:rFonts w:hint="eastAsia" w:ascii="仿宋_GB2312" w:hAnsi="仿宋_GB2312"/>
                <w:color w:val="auto"/>
                <w:sz w:val="28"/>
                <w:szCs w:val="28"/>
              </w:rPr>
            </w:pPr>
            <w:r>
              <w:rPr>
                <w:rFonts w:ascii="仿宋_GB2312" w:hAnsi="仿宋_GB2312"/>
                <w:color w:val="auto"/>
                <w:sz w:val="28"/>
                <w:szCs w:val="28"/>
              </w:rPr>
              <w:t>签订合同后12</w:t>
            </w:r>
            <w:r>
              <w:rPr>
                <w:rFonts w:hint="eastAsia" w:ascii="仿宋_GB2312" w:hAnsi="仿宋_GB2312"/>
                <w:color w:val="auto"/>
                <w:sz w:val="28"/>
                <w:szCs w:val="28"/>
              </w:rPr>
              <w:t>个月</w:t>
            </w:r>
            <w:r>
              <w:rPr>
                <w:rFonts w:ascii="仿宋_GB2312" w:hAnsi="仿宋_GB2312"/>
                <w:color w:val="auto"/>
                <w:sz w:val="28"/>
                <w:szCs w:val="28"/>
              </w:rPr>
              <w:t>内完成</w:t>
            </w:r>
            <w:r>
              <w:rPr>
                <w:rFonts w:hint="eastAsia" w:ascii="仿宋_GB2312" w:hAnsi="仿宋_GB2312"/>
                <w:color w:val="auto"/>
                <w:sz w:val="28"/>
                <w:szCs w:val="28"/>
              </w:rPr>
              <w:t>。</w:t>
            </w:r>
          </w:p>
        </w:tc>
      </w:tr>
      <w:tr w14:paraId="60F38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825" w:type="dxa"/>
            <w:vAlign w:val="center"/>
          </w:tcPr>
          <w:p w14:paraId="107C7C23">
            <w:pPr>
              <w:snapToGrid w:val="0"/>
              <w:contextualSpacing/>
              <w:jc w:val="center"/>
              <w:rPr>
                <w:rFonts w:hint="eastAsia" w:ascii="仿宋_GB2312" w:hAnsi="仿宋_GB2312"/>
                <w:color w:val="auto"/>
                <w:sz w:val="28"/>
                <w:szCs w:val="28"/>
              </w:rPr>
            </w:pPr>
            <w:r>
              <w:rPr>
                <w:rFonts w:ascii="仿宋_GB2312" w:hAnsi="仿宋_GB2312"/>
                <w:color w:val="auto"/>
                <w:sz w:val="28"/>
                <w:szCs w:val="28"/>
              </w:rPr>
              <w:t>3</w:t>
            </w:r>
          </w:p>
        </w:tc>
        <w:tc>
          <w:tcPr>
            <w:tcW w:w="2038" w:type="dxa"/>
            <w:vAlign w:val="center"/>
          </w:tcPr>
          <w:p w14:paraId="12B315A5">
            <w:pPr>
              <w:snapToGrid w:val="0"/>
              <w:contextualSpacing/>
              <w:jc w:val="center"/>
              <w:rPr>
                <w:rFonts w:hint="eastAsia" w:ascii="仿宋_GB2312" w:hAnsi="仿宋_GB2312"/>
                <w:color w:val="auto"/>
                <w:sz w:val="28"/>
                <w:szCs w:val="28"/>
              </w:rPr>
            </w:pPr>
            <w:r>
              <w:rPr>
                <w:rFonts w:ascii="仿宋_GB2312" w:hAnsi="仿宋_GB2312"/>
                <w:color w:val="auto"/>
                <w:sz w:val="28"/>
                <w:szCs w:val="28"/>
              </w:rPr>
              <w:t>售后服务</w:t>
            </w:r>
          </w:p>
        </w:tc>
        <w:tc>
          <w:tcPr>
            <w:tcW w:w="5350" w:type="dxa"/>
            <w:vAlign w:val="center"/>
          </w:tcPr>
          <w:p w14:paraId="7B5226FE">
            <w:pPr>
              <w:snapToGrid w:val="0"/>
              <w:contextualSpacing/>
              <w:rPr>
                <w:rFonts w:hint="eastAsia" w:ascii="仿宋_GB2312" w:hAnsi="仿宋_GB2312"/>
                <w:color w:val="auto"/>
                <w:sz w:val="28"/>
                <w:szCs w:val="28"/>
              </w:rPr>
            </w:pPr>
            <w:r>
              <w:rPr>
                <w:rFonts w:ascii="仿宋_GB2312" w:hAnsi="仿宋_GB2312"/>
                <w:color w:val="auto"/>
                <w:sz w:val="28"/>
                <w:szCs w:val="28"/>
              </w:rPr>
              <w:t>自验收合格日起</w:t>
            </w:r>
            <w:r>
              <w:rPr>
                <w:rFonts w:hint="eastAsia" w:ascii="仿宋_GB2312" w:hAnsi="仿宋_GB2312"/>
                <w:color w:val="auto"/>
                <w:sz w:val="28"/>
                <w:szCs w:val="28"/>
              </w:rPr>
              <w:t>至少提供为期3年</w:t>
            </w:r>
            <w:r>
              <w:rPr>
                <w:rFonts w:ascii="仿宋_GB2312" w:hAnsi="仿宋_GB2312"/>
                <w:color w:val="auto"/>
                <w:sz w:val="28"/>
                <w:szCs w:val="28"/>
              </w:rPr>
              <w:t>7*24原厂免费售后服务</w:t>
            </w:r>
            <w:r>
              <w:rPr>
                <w:rFonts w:hint="eastAsia" w:ascii="仿宋_GB2312" w:hAnsi="仿宋_GB2312"/>
                <w:color w:val="auto"/>
                <w:sz w:val="28"/>
                <w:szCs w:val="28"/>
              </w:rPr>
              <w:t>。</w:t>
            </w:r>
          </w:p>
          <w:p w14:paraId="19AEC620">
            <w:pPr>
              <w:tabs>
                <w:tab w:val="center" w:pos="4153"/>
                <w:tab w:val="right" w:pos="8306"/>
              </w:tabs>
              <w:snapToGrid w:val="0"/>
              <w:rPr>
                <w:rFonts w:hint="eastAsia" w:ascii="仿宋_GB2312" w:hAnsi="仿宋_GB2312"/>
                <w:color w:val="auto"/>
                <w:sz w:val="28"/>
                <w:szCs w:val="28"/>
              </w:rPr>
            </w:pPr>
            <w:r>
              <w:rPr>
                <w:rFonts w:ascii="仿宋_GB2312" w:hAnsi="仿宋_GB2312"/>
                <w:color w:val="auto"/>
                <w:sz w:val="28"/>
                <w:szCs w:val="28"/>
              </w:rPr>
              <w:t>响应时间：远程响应时间≤30分钟，现场响应时间≤</w:t>
            </w:r>
            <w:r>
              <w:rPr>
                <w:rFonts w:hint="eastAsia" w:ascii="仿宋_GB2312" w:hAnsi="仿宋_GB2312"/>
                <w:color w:val="auto"/>
                <w:sz w:val="28"/>
                <w:szCs w:val="28"/>
              </w:rPr>
              <w:t>4</w:t>
            </w:r>
            <w:r>
              <w:rPr>
                <w:rFonts w:ascii="仿宋_GB2312" w:hAnsi="仿宋_GB2312"/>
                <w:color w:val="auto"/>
                <w:sz w:val="28"/>
                <w:szCs w:val="28"/>
              </w:rPr>
              <w:t>小时</w:t>
            </w:r>
            <w:r>
              <w:rPr>
                <w:rFonts w:hint="eastAsia" w:ascii="仿宋_GB2312" w:hAnsi="仿宋_GB2312"/>
                <w:color w:val="auto"/>
                <w:sz w:val="28"/>
                <w:szCs w:val="28"/>
              </w:rPr>
              <w:t>。</w:t>
            </w:r>
          </w:p>
        </w:tc>
      </w:tr>
      <w:tr w14:paraId="63FF2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825" w:type="dxa"/>
            <w:vAlign w:val="center"/>
          </w:tcPr>
          <w:p w14:paraId="7A089DEF">
            <w:pPr>
              <w:snapToGrid w:val="0"/>
              <w:contextualSpacing/>
              <w:jc w:val="center"/>
              <w:rPr>
                <w:rFonts w:hint="eastAsia" w:ascii="仿宋_GB2312" w:hAnsi="仿宋_GB2312"/>
                <w:color w:val="auto"/>
                <w:sz w:val="28"/>
                <w:szCs w:val="28"/>
              </w:rPr>
            </w:pPr>
            <w:r>
              <w:rPr>
                <w:rFonts w:ascii="仿宋_GB2312" w:hAnsi="仿宋_GB2312"/>
                <w:color w:val="auto"/>
                <w:sz w:val="28"/>
                <w:szCs w:val="28"/>
              </w:rPr>
              <w:t>4</w:t>
            </w:r>
          </w:p>
        </w:tc>
        <w:tc>
          <w:tcPr>
            <w:tcW w:w="2038" w:type="dxa"/>
            <w:vAlign w:val="center"/>
          </w:tcPr>
          <w:p w14:paraId="379FE5DE">
            <w:pPr>
              <w:snapToGrid w:val="0"/>
              <w:contextualSpacing/>
              <w:jc w:val="center"/>
              <w:rPr>
                <w:rFonts w:hint="eastAsia" w:ascii="仿宋_GB2312" w:hAnsi="仿宋_GB2312"/>
                <w:color w:val="auto"/>
                <w:sz w:val="28"/>
                <w:szCs w:val="28"/>
              </w:rPr>
            </w:pPr>
            <w:r>
              <w:rPr>
                <w:rFonts w:ascii="仿宋_GB2312" w:hAnsi="仿宋_GB2312"/>
                <w:color w:val="auto"/>
                <w:sz w:val="28"/>
                <w:szCs w:val="28"/>
              </w:rPr>
              <w:t>培训</w:t>
            </w:r>
          </w:p>
        </w:tc>
        <w:tc>
          <w:tcPr>
            <w:tcW w:w="5350" w:type="dxa"/>
            <w:vAlign w:val="center"/>
          </w:tcPr>
          <w:p w14:paraId="0C423BDC">
            <w:pPr>
              <w:snapToGrid w:val="0"/>
              <w:contextualSpacing/>
              <w:rPr>
                <w:rFonts w:hint="eastAsia" w:ascii="仿宋_GB2312" w:hAnsi="仿宋_GB2312"/>
                <w:color w:val="auto"/>
                <w:sz w:val="28"/>
                <w:szCs w:val="28"/>
              </w:rPr>
            </w:pPr>
            <w:r>
              <w:rPr>
                <w:rFonts w:ascii="仿宋_GB2312" w:hAnsi="仿宋_GB2312"/>
                <w:color w:val="auto"/>
                <w:sz w:val="28"/>
                <w:szCs w:val="28"/>
              </w:rPr>
              <w:t>对全体使用人员进行3轮培训</w:t>
            </w:r>
            <w:r>
              <w:rPr>
                <w:rFonts w:hint="eastAsia" w:ascii="仿宋_GB2312" w:hAnsi="仿宋_GB2312"/>
                <w:color w:val="auto"/>
                <w:sz w:val="28"/>
                <w:szCs w:val="28"/>
              </w:rPr>
              <w:t>。</w:t>
            </w:r>
          </w:p>
        </w:tc>
      </w:tr>
      <w:tr w14:paraId="146CD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825" w:type="dxa"/>
            <w:vAlign w:val="center"/>
          </w:tcPr>
          <w:p w14:paraId="4DC6DFAA">
            <w:pPr>
              <w:snapToGrid w:val="0"/>
              <w:contextualSpacing/>
              <w:jc w:val="center"/>
              <w:rPr>
                <w:rFonts w:hint="eastAsia" w:ascii="仿宋_GB2312" w:hAnsi="仿宋_GB2312"/>
                <w:color w:val="auto"/>
                <w:sz w:val="28"/>
                <w:szCs w:val="28"/>
              </w:rPr>
            </w:pPr>
            <w:r>
              <w:rPr>
                <w:rFonts w:ascii="仿宋_GB2312" w:hAnsi="仿宋_GB2312"/>
                <w:color w:val="auto"/>
                <w:sz w:val="28"/>
                <w:szCs w:val="28"/>
              </w:rPr>
              <w:t>5</w:t>
            </w:r>
          </w:p>
        </w:tc>
        <w:tc>
          <w:tcPr>
            <w:tcW w:w="2038" w:type="dxa"/>
            <w:vAlign w:val="center"/>
          </w:tcPr>
          <w:p w14:paraId="617F5BEA">
            <w:pPr>
              <w:snapToGrid w:val="0"/>
              <w:contextualSpacing/>
              <w:jc w:val="center"/>
              <w:rPr>
                <w:rFonts w:hint="eastAsia" w:ascii="仿宋_GB2312" w:hAnsi="仿宋_GB2312"/>
                <w:color w:val="auto"/>
                <w:sz w:val="28"/>
                <w:szCs w:val="28"/>
              </w:rPr>
            </w:pPr>
            <w:r>
              <w:rPr>
                <w:rFonts w:ascii="仿宋_GB2312" w:hAnsi="仿宋_GB2312"/>
                <w:color w:val="auto"/>
                <w:sz w:val="28"/>
                <w:szCs w:val="28"/>
              </w:rPr>
              <w:t>接口</w:t>
            </w:r>
          </w:p>
        </w:tc>
        <w:tc>
          <w:tcPr>
            <w:tcW w:w="5350" w:type="dxa"/>
            <w:vAlign w:val="center"/>
          </w:tcPr>
          <w:p w14:paraId="6DF61412">
            <w:pPr>
              <w:snapToGrid w:val="0"/>
              <w:contextualSpacing/>
              <w:rPr>
                <w:rFonts w:hint="eastAsia" w:ascii="仿宋_GB2312" w:hAnsi="仿宋_GB2312"/>
                <w:color w:val="auto"/>
                <w:sz w:val="28"/>
                <w:szCs w:val="28"/>
              </w:rPr>
            </w:pPr>
            <w:r>
              <w:rPr>
                <w:rFonts w:ascii="仿宋_GB2312" w:hAnsi="仿宋_GB2312"/>
                <w:color w:val="auto"/>
                <w:sz w:val="28"/>
                <w:szCs w:val="28"/>
              </w:rPr>
              <w:t>实现与HIS等医院现有系统进行数据</w:t>
            </w:r>
            <w:r>
              <w:rPr>
                <w:rFonts w:hint="eastAsia" w:ascii="仿宋_GB2312" w:hAnsi="仿宋_GB2312"/>
                <w:color w:val="auto"/>
                <w:sz w:val="28"/>
                <w:szCs w:val="28"/>
              </w:rPr>
              <w:t>对接</w:t>
            </w:r>
            <w:r>
              <w:rPr>
                <w:rFonts w:ascii="仿宋_GB2312" w:hAnsi="仿宋_GB2312"/>
                <w:color w:val="auto"/>
                <w:sz w:val="28"/>
                <w:szCs w:val="28"/>
              </w:rPr>
              <w:t>。提供可供第三方调用的标准接口，与全院信息化系统兼容</w:t>
            </w:r>
            <w:r>
              <w:rPr>
                <w:rFonts w:hint="eastAsia" w:ascii="仿宋_GB2312" w:hAnsi="仿宋_GB2312"/>
                <w:color w:val="auto"/>
                <w:sz w:val="28"/>
                <w:szCs w:val="28"/>
              </w:rPr>
              <w:t>。（接口费用包含在项目建设总费用中）</w:t>
            </w:r>
          </w:p>
        </w:tc>
      </w:tr>
      <w:tr w14:paraId="33DD1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825" w:type="dxa"/>
            <w:vAlign w:val="center"/>
          </w:tcPr>
          <w:p w14:paraId="2F96B2FC">
            <w:pPr>
              <w:snapToGrid w:val="0"/>
              <w:contextualSpacing/>
              <w:jc w:val="center"/>
              <w:rPr>
                <w:rFonts w:hint="eastAsia" w:ascii="仿宋_GB2312" w:hAnsi="仿宋_GB2312"/>
                <w:color w:val="auto"/>
                <w:sz w:val="28"/>
                <w:szCs w:val="28"/>
              </w:rPr>
            </w:pPr>
            <w:r>
              <w:rPr>
                <w:rFonts w:ascii="仿宋_GB2312" w:hAnsi="仿宋_GB2312"/>
                <w:color w:val="auto"/>
                <w:sz w:val="28"/>
                <w:szCs w:val="28"/>
              </w:rPr>
              <w:t>6</w:t>
            </w:r>
          </w:p>
        </w:tc>
        <w:tc>
          <w:tcPr>
            <w:tcW w:w="2038" w:type="dxa"/>
            <w:vAlign w:val="center"/>
          </w:tcPr>
          <w:p w14:paraId="435D4BCF">
            <w:pPr>
              <w:snapToGrid w:val="0"/>
              <w:contextualSpacing/>
              <w:jc w:val="center"/>
              <w:rPr>
                <w:rFonts w:hint="eastAsia" w:ascii="仿宋_GB2312" w:hAnsi="仿宋_GB2312"/>
                <w:color w:val="auto"/>
                <w:sz w:val="28"/>
                <w:szCs w:val="28"/>
              </w:rPr>
            </w:pPr>
            <w:r>
              <w:rPr>
                <w:rFonts w:ascii="仿宋_GB2312" w:hAnsi="仿宋_GB2312"/>
                <w:color w:val="auto"/>
                <w:sz w:val="28"/>
                <w:szCs w:val="28"/>
              </w:rPr>
              <w:t>部署范围</w:t>
            </w:r>
          </w:p>
        </w:tc>
        <w:tc>
          <w:tcPr>
            <w:tcW w:w="5350" w:type="dxa"/>
            <w:vAlign w:val="center"/>
          </w:tcPr>
          <w:p w14:paraId="6D320B01">
            <w:pPr>
              <w:snapToGrid w:val="0"/>
              <w:contextualSpacing/>
              <w:jc w:val="both"/>
              <w:rPr>
                <w:rFonts w:hint="eastAsia" w:ascii="仿宋_GB2312" w:hAnsi="仿宋_GB2312"/>
                <w:color w:val="auto"/>
                <w:sz w:val="28"/>
                <w:szCs w:val="28"/>
              </w:rPr>
            </w:pPr>
            <w:r>
              <w:rPr>
                <w:rFonts w:hint="eastAsia" w:ascii="仿宋_GB2312" w:hAnsi="仿宋_GB2312"/>
                <w:color w:val="auto"/>
                <w:sz w:val="28"/>
                <w:szCs w:val="28"/>
              </w:rPr>
              <w:t>成都市第二人民医院</w:t>
            </w:r>
            <w:r>
              <w:rPr>
                <w:rFonts w:ascii="仿宋_GB2312" w:hAnsi="仿宋_GB2312"/>
                <w:color w:val="auto"/>
                <w:sz w:val="28"/>
                <w:szCs w:val="28"/>
              </w:rPr>
              <w:t>眼科</w:t>
            </w:r>
          </w:p>
        </w:tc>
      </w:tr>
    </w:tbl>
    <w:p w14:paraId="43F4747F">
      <w:pPr>
        <w:ind w:firstLine="570"/>
        <w:rPr>
          <w:rFonts w:hint="eastAsia" w:ascii="仿宋_GB2312" w:hAnsi="仿宋_GB2312" w:cs="仿宋_GB2312"/>
          <w:color w:val="auto"/>
          <w:sz w:val="28"/>
          <w:szCs w:val="28"/>
        </w:rPr>
      </w:pPr>
    </w:p>
    <w:p w14:paraId="14260E4C">
      <w:pPr>
        <w:pStyle w:val="3"/>
        <w:rPr>
          <w:rFonts w:hint="eastAsia"/>
          <w:color w:val="auto"/>
          <w:shd w:val="clear" w:color="auto" w:fill="F2F2F7"/>
        </w:rPr>
      </w:pPr>
      <w:bookmarkStart w:id="0" w:name="_Toc221887379"/>
      <w:r>
        <w:rPr>
          <w:rFonts w:hint="eastAsia"/>
          <w:color w:val="auto"/>
          <w:shd w:val="clear" w:color="auto" w:fill="F2F2F7"/>
        </w:rPr>
        <w:t>主要模块组成</w:t>
      </w:r>
      <w:bookmarkEnd w:id="0"/>
    </w:p>
    <w:tbl>
      <w:tblPr>
        <w:tblStyle w:val="19"/>
        <w:tblW w:w="498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2086"/>
        <w:gridCol w:w="5582"/>
      </w:tblGrid>
      <w:tr w14:paraId="6BC42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 w:hRule="atLeast"/>
        </w:trPr>
        <w:tc>
          <w:tcPr>
            <w:tcW w:w="803" w:type="dxa"/>
            <w:vAlign w:val="center"/>
          </w:tcPr>
          <w:p w14:paraId="12FF2B24">
            <w:pPr>
              <w:snapToGrid w:val="0"/>
              <w:contextualSpacing/>
              <w:jc w:val="center"/>
              <w:rPr>
                <w:rFonts w:hint="eastAsia" w:ascii="宋体" w:hAnsi="宋体" w:cs="宋体"/>
                <w:color w:val="auto"/>
              </w:rPr>
            </w:pPr>
            <w:r>
              <w:rPr>
                <w:rFonts w:hint="eastAsia" w:ascii="宋体" w:hAnsi="宋体" w:cs="宋体"/>
                <w:color w:val="auto"/>
              </w:rPr>
              <w:t>序号</w:t>
            </w:r>
          </w:p>
        </w:tc>
        <w:tc>
          <w:tcPr>
            <w:tcW w:w="2034" w:type="dxa"/>
            <w:vAlign w:val="center"/>
          </w:tcPr>
          <w:p w14:paraId="6226BA06">
            <w:pPr>
              <w:snapToGrid w:val="0"/>
              <w:contextualSpacing/>
              <w:rPr>
                <w:rFonts w:hint="eastAsia" w:ascii="宋体" w:hAnsi="宋体" w:cs="宋体"/>
                <w:color w:val="auto"/>
              </w:rPr>
            </w:pPr>
            <w:r>
              <w:rPr>
                <w:rFonts w:hint="eastAsia" w:ascii="宋体" w:hAnsi="宋体" w:cs="宋体"/>
                <w:color w:val="auto"/>
              </w:rPr>
              <w:t>主要模块</w:t>
            </w:r>
          </w:p>
        </w:tc>
        <w:tc>
          <w:tcPr>
            <w:tcW w:w="5442" w:type="dxa"/>
            <w:vAlign w:val="center"/>
          </w:tcPr>
          <w:p w14:paraId="02BB6FFE">
            <w:pPr>
              <w:snapToGrid w:val="0"/>
              <w:contextualSpacing/>
              <w:rPr>
                <w:rFonts w:hint="eastAsia" w:ascii="宋体" w:hAnsi="宋体" w:cs="宋体"/>
                <w:color w:val="auto"/>
              </w:rPr>
            </w:pPr>
            <w:r>
              <w:rPr>
                <w:rFonts w:hint="eastAsia" w:ascii="宋体" w:hAnsi="宋体" w:cs="宋体"/>
                <w:color w:val="auto"/>
              </w:rPr>
              <w:t>具体要求</w:t>
            </w:r>
          </w:p>
        </w:tc>
      </w:tr>
      <w:tr w14:paraId="57A21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trPr>
        <w:tc>
          <w:tcPr>
            <w:tcW w:w="803" w:type="dxa"/>
            <w:vAlign w:val="center"/>
          </w:tcPr>
          <w:p w14:paraId="5F361811">
            <w:pPr>
              <w:snapToGrid w:val="0"/>
              <w:contextualSpacing/>
              <w:jc w:val="center"/>
              <w:rPr>
                <w:rFonts w:hint="eastAsia" w:ascii="宋体" w:hAnsi="宋体" w:cs="宋体"/>
                <w:color w:val="auto"/>
              </w:rPr>
            </w:pPr>
            <w:bookmarkStart w:id="1" w:name="OLE_LINK1" w:colFirst="1" w:colLast="1"/>
            <w:r>
              <w:rPr>
                <w:rFonts w:hint="eastAsia" w:ascii="宋体" w:hAnsi="宋体" w:cs="宋体"/>
                <w:color w:val="auto"/>
              </w:rPr>
              <w:t>1</w:t>
            </w:r>
          </w:p>
        </w:tc>
        <w:tc>
          <w:tcPr>
            <w:tcW w:w="2034" w:type="dxa"/>
            <w:vAlign w:val="center"/>
          </w:tcPr>
          <w:p w14:paraId="394625CF">
            <w:pPr>
              <w:snapToGrid w:val="0"/>
              <w:contextualSpacing/>
              <w:rPr>
                <w:rFonts w:hint="eastAsia" w:ascii="宋体" w:hAnsi="宋体" w:cs="宋体"/>
                <w:color w:val="auto"/>
              </w:rPr>
            </w:pPr>
            <w:r>
              <w:rPr>
                <w:rFonts w:hint="eastAsia" w:ascii="宋体" w:hAnsi="宋体" w:cs="宋体"/>
                <w:color w:val="auto"/>
              </w:rPr>
              <w:t>眼科检查模块</w:t>
            </w:r>
          </w:p>
        </w:tc>
        <w:tc>
          <w:tcPr>
            <w:tcW w:w="5442" w:type="dxa"/>
            <w:vAlign w:val="center"/>
          </w:tcPr>
          <w:p w14:paraId="532543AD">
            <w:pPr>
              <w:snapToGrid w:val="0"/>
              <w:ind w:firstLine="240" w:firstLineChars="100"/>
              <w:contextualSpacing/>
              <w:rPr>
                <w:rFonts w:hint="eastAsia" w:ascii="宋体" w:hAnsi="宋体" w:cs="宋体"/>
                <w:color w:val="auto"/>
              </w:rPr>
            </w:pPr>
            <w:r>
              <w:rPr>
                <w:rFonts w:hint="eastAsia" w:ascii="宋体" w:hAnsi="宋体" w:cs="宋体"/>
                <w:color w:val="auto"/>
              </w:rPr>
              <w:t>以门诊电子病历系统中的患者就诊数据为基础，系统支持同步门诊电子病历中的患者基础信息、就诊主诉、初步诊断等核心数据，同时支持对临床医师开具的各类眼科检查申请（如视力检查、眼压检查、眼底检查、屈光检查、角膜地形图检查等）进行精准分类，提供统一的报告模板和报告书写模块。检查数据、报告数据统一存储管理，为眼科临床医生提供辅助支持。</w:t>
            </w:r>
          </w:p>
        </w:tc>
      </w:tr>
      <w:tr w14:paraId="04915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trPr>
        <w:tc>
          <w:tcPr>
            <w:tcW w:w="803" w:type="dxa"/>
            <w:vAlign w:val="center"/>
          </w:tcPr>
          <w:p w14:paraId="004B86C5">
            <w:pPr>
              <w:snapToGrid w:val="0"/>
              <w:contextualSpacing/>
              <w:jc w:val="center"/>
              <w:rPr>
                <w:rFonts w:hint="eastAsia" w:ascii="宋体" w:hAnsi="宋体" w:cs="宋体"/>
                <w:color w:val="auto"/>
              </w:rPr>
            </w:pPr>
            <w:r>
              <w:rPr>
                <w:rFonts w:hint="eastAsia" w:ascii="宋体" w:hAnsi="宋体" w:cs="宋体"/>
                <w:color w:val="auto"/>
              </w:rPr>
              <w:t>2</w:t>
            </w:r>
          </w:p>
        </w:tc>
        <w:tc>
          <w:tcPr>
            <w:tcW w:w="2034" w:type="dxa"/>
            <w:vAlign w:val="center"/>
          </w:tcPr>
          <w:p w14:paraId="6C7DEA56">
            <w:pPr>
              <w:snapToGrid w:val="0"/>
              <w:contextualSpacing/>
              <w:rPr>
                <w:rFonts w:hint="eastAsia" w:ascii="宋体" w:hAnsi="宋体" w:cs="宋体"/>
                <w:color w:val="auto"/>
              </w:rPr>
            </w:pPr>
            <w:r>
              <w:rPr>
                <w:rFonts w:hint="eastAsia" w:ascii="宋体" w:hAnsi="宋体" w:cs="宋体"/>
                <w:color w:val="auto"/>
              </w:rPr>
              <w:t>眼科影像调阅模块</w:t>
            </w:r>
          </w:p>
        </w:tc>
        <w:tc>
          <w:tcPr>
            <w:tcW w:w="5442" w:type="dxa"/>
            <w:vAlign w:val="center"/>
          </w:tcPr>
          <w:p w14:paraId="3593DCFB">
            <w:pPr>
              <w:snapToGrid w:val="0"/>
              <w:ind w:firstLine="240" w:firstLineChars="100"/>
              <w:contextualSpacing/>
              <w:rPr>
                <w:rFonts w:hint="eastAsia" w:ascii="宋体" w:hAnsi="宋体" w:cs="宋体"/>
                <w:color w:val="auto"/>
              </w:rPr>
            </w:pPr>
            <w:r>
              <w:rPr>
                <w:rFonts w:hint="eastAsia" w:ascii="宋体" w:hAnsi="宋体" w:cs="宋体"/>
                <w:color w:val="auto"/>
              </w:rPr>
              <w:t>实现眼科各检查设备所产生影像资料的统一管理和调阅。支持影像的查询、浏览、基本阅片操作（缩放、旋转、窗宽窗位调节、标注等），为临床医生提供影像调阅服务。</w:t>
            </w:r>
          </w:p>
        </w:tc>
      </w:tr>
      <w:tr w14:paraId="7CC11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trPr>
        <w:tc>
          <w:tcPr>
            <w:tcW w:w="803" w:type="dxa"/>
            <w:vAlign w:val="center"/>
          </w:tcPr>
          <w:p w14:paraId="567A06E8">
            <w:pPr>
              <w:snapToGrid w:val="0"/>
              <w:contextualSpacing/>
              <w:jc w:val="center"/>
              <w:rPr>
                <w:rFonts w:hint="eastAsia" w:ascii="宋体" w:hAnsi="宋体" w:cs="宋体"/>
                <w:color w:val="auto"/>
              </w:rPr>
            </w:pPr>
            <w:r>
              <w:rPr>
                <w:rFonts w:hint="eastAsia" w:ascii="宋体" w:hAnsi="宋体" w:cs="宋体"/>
                <w:color w:val="auto"/>
              </w:rPr>
              <w:t>3</w:t>
            </w:r>
          </w:p>
        </w:tc>
        <w:tc>
          <w:tcPr>
            <w:tcW w:w="2034" w:type="dxa"/>
            <w:vAlign w:val="center"/>
          </w:tcPr>
          <w:p w14:paraId="2267CAEC">
            <w:pPr>
              <w:snapToGrid w:val="0"/>
              <w:contextualSpacing/>
              <w:rPr>
                <w:rFonts w:hint="eastAsia" w:ascii="宋体" w:hAnsi="宋体" w:cs="宋体"/>
                <w:color w:val="auto"/>
              </w:rPr>
            </w:pPr>
            <w:r>
              <w:rPr>
                <w:rFonts w:hint="eastAsia" w:ascii="宋体" w:hAnsi="宋体" w:cs="宋体"/>
                <w:color w:val="auto"/>
              </w:rPr>
              <w:t>系统接口模块</w:t>
            </w:r>
          </w:p>
        </w:tc>
        <w:tc>
          <w:tcPr>
            <w:tcW w:w="5442" w:type="dxa"/>
            <w:vAlign w:val="center"/>
          </w:tcPr>
          <w:p w14:paraId="02E09502">
            <w:pPr>
              <w:snapToGrid w:val="0"/>
              <w:ind w:firstLine="240" w:firstLineChars="100"/>
              <w:contextualSpacing/>
              <w:rPr>
                <w:rFonts w:hint="eastAsia" w:ascii="宋体" w:hAnsi="宋体" w:cs="宋体"/>
                <w:color w:val="auto"/>
              </w:rPr>
            </w:pPr>
            <w:r>
              <w:rPr>
                <w:rFonts w:hint="eastAsia" w:ascii="宋体" w:hAnsi="宋体" w:cs="宋体"/>
                <w:color w:val="auto"/>
              </w:rPr>
              <w:t>实现与医院现有HIS系统进行数据对接。提供可供第三方调用的标准接口，与全院信息化系统兼容。</w:t>
            </w:r>
          </w:p>
        </w:tc>
      </w:tr>
      <w:bookmarkEnd w:id="1"/>
    </w:tbl>
    <w:p w14:paraId="16746CF7">
      <w:pPr>
        <w:pStyle w:val="3"/>
        <w:rPr>
          <w:rFonts w:hint="eastAsia"/>
          <w:color w:val="auto"/>
        </w:rPr>
      </w:pPr>
      <w:bookmarkStart w:id="2" w:name="_Toc9700"/>
      <w:bookmarkStart w:id="3" w:name="_Toc221887380"/>
      <w:r>
        <w:rPr>
          <w:rFonts w:hint="eastAsia"/>
          <w:color w:val="auto"/>
        </w:rPr>
        <w:t>功能参数</w:t>
      </w:r>
      <w:bookmarkEnd w:id="2"/>
      <w:bookmarkEnd w:id="3"/>
    </w:p>
    <w:p w14:paraId="0B850E2F">
      <w:pPr>
        <w:pStyle w:val="48"/>
        <w:ind w:firstLine="260"/>
        <w:rPr>
          <w:rFonts w:hint="eastAsia"/>
          <w:color w:val="auto"/>
        </w:rPr>
      </w:pPr>
      <w:r>
        <w:rPr>
          <w:color w:val="auto"/>
        </w:rPr>
        <w:t>眼科检查</w:t>
      </w:r>
      <w:r>
        <w:rPr>
          <w:rFonts w:hint="eastAsia"/>
          <w:color w:val="auto"/>
        </w:rPr>
        <w:t>模块</w:t>
      </w:r>
    </w:p>
    <w:tbl>
      <w:tblPr>
        <w:tblStyle w:val="19"/>
        <w:tblW w:w="4853" w:type="pct"/>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211"/>
        <w:gridCol w:w="1285"/>
        <w:gridCol w:w="5215"/>
      </w:tblGrid>
      <w:tr w14:paraId="5108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46" w:type="dxa"/>
            <w:vMerge w:val="restart"/>
            <w:vAlign w:val="center"/>
          </w:tcPr>
          <w:p w14:paraId="0A7DDB5F">
            <w:pPr>
              <w:jc w:val="center"/>
              <w:rPr>
                <w:rFonts w:hint="eastAsia" w:ascii="宋体" w:hAnsi="宋体" w:cs="宋体"/>
                <w:color w:val="auto"/>
              </w:rPr>
            </w:pPr>
            <w:r>
              <w:rPr>
                <w:rFonts w:hint="eastAsia" w:ascii="宋体" w:hAnsi="宋体" w:cs="宋体"/>
                <w:color w:val="auto"/>
              </w:rPr>
              <w:t>序号</w:t>
            </w:r>
          </w:p>
        </w:tc>
        <w:tc>
          <w:tcPr>
            <w:tcW w:w="2432" w:type="dxa"/>
            <w:gridSpan w:val="2"/>
            <w:vAlign w:val="center"/>
          </w:tcPr>
          <w:p w14:paraId="19558B21">
            <w:pPr>
              <w:rPr>
                <w:rFonts w:hint="eastAsia" w:ascii="宋体" w:hAnsi="宋体" w:cs="宋体"/>
                <w:color w:val="auto"/>
              </w:rPr>
            </w:pPr>
            <w:r>
              <w:rPr>
                <w:rFonts w:hint="eastAsia" w:ascii="宋体" w:hAnsi="宋体" w:cs="宋体"/>
                <w:color w:val="auto"/>
              </w:rPr>
              <w:t>功能/性能</w:t>
            </w:r>
          </w:p>
        </w:tc>
        <w:tc>
          <w:tcPr>
            <w:tcW w:w="5084" w:type="dxa"/>
            <w:vMerge w:val="restart"/>
            <w:vAlign w:val="center"/>
          </w:tcPr>
          <w:p w14:paraId="01C72CA3">
            <w:pPr>
              <w:rPr>
                <w:rFonts w:hint="eastAsia" w:ascii="宋体" w:hAnsi="宋体" w:cs="宋体"/>
                <w:color w:val="auto"/>
              </w:rPr>
            </w:pPr>
            <w:r>
              <w:rPr>
                <w:rFonts w:hint="eastAsia" w:ascii="宋体" w:hAnsi="宋体" w:cs="宋体"/>
                <w:color w:val="auto"/>
              </w:rPr>
              <w:t>具体要求</w:t>
            </w:r>
          </w:p>
        </w:tc>
      </w:tr>
      <w:tr w14:paraId="4816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546" w:type="dxa"/>
            <w:vMerge w:val="continue"/>
            <w:vAlign w:val="center"/>
          </w:tcPr>
          <w:p w14:paraId="3CE01F64">
            <w:pPr>
              <w:jc w:val="center"/>
              <w:rPr>
                <w:rFonts w:hint="eastAsia" w:ascii="宋体" w:hAnsi="宋体" w:cs="宋体"/>
                <w:color w:val="auto"/>
              </w:rPr>
            </w:pPr>
          </w:p>
        </w:tc>
        <w:tc>
          <w:tcPr>
            <w:tcW w:w="1180" w:type="dxa"/>
            <w:vAlign w:val="center"/>
          </w:tcPr>
          <w:p w14:paraId="7D212707">
            <w:pPr>
              <w:rPr>
                <w:rFonts w:hint="eastAsia" w:ascii="宋体" w:hAnsi="宋体" w:cs="宋体"/>
                <w:color w:val="auto"/>
              </w:rPr>
            </w:pPr>
            <w:r>
              <w:rPr>
                <w:rFonts w:hint="eastAsia" w:ascii="宋体" w:hAnsi="宋体" w:cs="宋体"/>
                <w:color w:val="auto"/>
              </w:rPr>
              <w:t>一级功能</w:t>
            </w:r>
          </w:p>
        </w:tc>
        <w:tc>
          <w:tcPr>
            <w:tcW w:w="1252" w:type="dxa"/>
            <w:vAlign w:val="center"/>
          </w:tcPr>
          <w:p w14:paraId="7BE3205D">
            <w:pPr>
              <w:rPr>
                <w:rFonts w:hint="eastAsia" w:ascii="宋体" w:hAnsi="宋体" w:cs="宋体"/>
                <w:color w:val="auto"/>
              </w:rPr>
            </w:pPr>
            <w:r>
              <w:rPr>
                <w:rFonts w:hint="eastAsia" w:ascii="宋体" w:hAnsi="宋体" w:cs="宋体"/>
                <w:color w:val="auto"/>
              </w:rPr>
              <w:t>二级功能</w:t>
            </w:r>
          </w:p>
        </w:tc>
        <w:tc>
          <w:tcPr>
            <w:tcW w:w="5084" w:type="dxa"/>
            <w:vMerge w:val="continue"/>
            <w:vAlign w:val="center"/>
          </w:tcPr>
          <w:p w14:paraId="535D947B">
            <w:pPr>
              <w:rPr>
                <w:rFonts w:hint="eastAsia" w:ascii="宋体" w:hAnsi="宋体" w:cs="宋体"/>
                <w:color w:val="auto"/>
              </w:rPr>
            </w:pPr>
          </w:p>
        </w:tc>
      </w:tr>
      <w:tr w14:paraId="60A7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546" w:type="dxa"/>
            <w:vAlign w:val="center"/>
          </w:tcPr>
          <w:p w14:paraId="14DF14D5">
            <w:pPr>
              <w:jc w:val="center"/>
              <w:rPr>
                <w:rFonts w:hint="eastAsia" w:ascii="宋体" w:hAnsi="宋体" w:cs="宋体"/>
                <w:color w:val="auto"/>
              </w:rPr>
            </w:pPr>
            <w:r>
              <w:rPr>
                <w:rFonts w:hint="eastAsia" w:ascii="宋体" w:hAnsi="宋体" w:cs="宋体"/>
                <w:color w:val="auto"/>
              </w:rPr>
              <w:t>1</w:t>
            </w:r>
          </w:p>
        </w:tc>
        <w:tc>
          <w:tcPr>
            <w:tcW w:w="1180" w:type="dxa"/>
            <w:vAlign w:val="center"/>
          </w:tcPr>
          <w:p w14:paraId="4D2EE999">
            <w:pPr>
              <w:rPr>
                <w:rFonts w:hint="eastAsia" w:ascii="宋体" w:hAnsi="宋体" w:cs="宋体"/>
                <w:color w:val="auto"/>
              </w:rPr>
            </w:pPr>
            <w:r>
              <w:rPr>
                <w:rFonts w:hint="eastAsia" w:ascii="宋体" w:hAnsi="宋体" w:cs="宋体"/>
                <w:color w:val="auto"/>
              </w:rPr>
              <w:t>用户登录</w:t>
            </w:r>
          </w:p>
        </w:tc>
        <w:tc>
          <w:tcPr>
            <w:tcW w:w="1252" w:type="dxa"/>
            <w:vAlign w:val="center"/>
          </w:tcPr>
          <w:p w14:paraId="1BC47198">
            <w:pPr>
              <w:rPr>
                <w:rFonts w:hint="eastAsia" w:ascii="宋体" w:hAnsi="宋体" w:cs="宋体"/>
                <w:color w:val="auto"/>
              </w:rPr>
            </w:pPr>
            <w:r>
              <w:rPr>
                <w:rFonts w:hint="eastAsia" w:ascii="宋体" w:hAnsi="宋体" w:cs="宋体"/>
                <w:color w:val="auto"/>
              </w:rPr>
              <w:t>用户登录</w:t>
            </w:r>
          </w:p>
        </w:tc>
        <w:tc>
          <w:tcPr>
            <w:tcW w:w="5084" w:type="dxa"/>
            <w:vAlign w:val="center"/>
          </w:tcPr>
          <w:p w14:paraId="5A4693FB">
            <w:pPr>
              <w:rPr>
                <w:rFonts w:hint="eastAsia" w:ascii="宋体" w:hAnsi="宋体" w:cs="宋体"/>
                <w:color w:val="auto"/>
              </w:rPr>
            </w:pPr>
            <w:r>
              <w:rPr>
                <w:rFonts w:hint="eastAsia" w:ascii="宋体" w:hAnsi="宋体" w:cs="宋体"/>
                <w:color w:val="auto"/>
              </w:rPr>
              <w:t>支持以用户名登录，支持以工号登录，登陆密码可自行修改，提供记住密码功能，支持重置登录信息，帐号及密码在后台用户管理模块中配置，支持单点登录，CA签名认证登录</w:t>
            </w:r>
          </w:p>
        </w:tc>
      </w:tr>
      <w:tr w14:paraId="5151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Align w:val="center"/>
          </w:tcPr>
          <w:p w14:paraId="264D57B4">
            <w:pPr>
              <w:jc w:val="center"/>
              <w:rPr>
                <w:rFonts w:hint="eastAsia" w:ascii="宋体" w:hAnsi="宋体" w:cs="宋体"/>
                <w:color w:val="auto"/>
              </w:rPr>
            </w:pPr>
            <w:r>
              <w:rPr>
                <w:rFonts w:hint="eastAsia" w:ascii="宋体" w:hAnsi="宋体" w:cs="宋体"/>
                <w:color w:val="auto"/>
              </w:rPr>
              <w:t>2</w:t>
            </w:r>
          </w:p>
        </w:tc>
        <w:tc>
          <w:tcPr>
            <w:tcW w:w="1180" w:type="dxa"/>
            <w:vAlign w:val="center"/>
          </w:tcPr>
          <w:p w14:paraId="002A5356">
            <w:pPr>
              <w:rPr>
                <w:rFonts w:hint="eastAsia" w:ascii="宋体" w:hAnsi="宋体" w:cs="宋体"/>
                <w:color w:val="auto"/>
              </w:rPr>
            </w:pPr>
            <w:r>
              <w:rPr>
                <w:rFonts w:hint="eastAsia" w:ascii="宋体" w:hAnsi="宋体" w:cs="宋体"/>
                <w:color w:val="auto"/>
              </w:rPr>
              <w:t>系统首页</w:t>
            </w:r>
          </w:p>
        </w:tc>
        <w:tc>
          <w:tcPr>
            <w:tcW w:w="1252" w:type="dxa"/>
            <w:vAlign w:val="center"/>
          </w:tcPr>
          <w:p w14:paraId="72CBAD88">
            <w:pPr>
              <w:rPr>
                <w:rFonts w:hint="eastAsia" w:ascii="宋体" w:hAnsi="宋体" w:cs="宋体"/>
                <w:color w:val="auto"/>
              </w:rPr>
            </w:pPr>
            <w:r>
              <w:rPr>
                <w:rFonts w:hint="eastAsia" w:ascii="宋体" w:hAnsi="宋体" w:cs="宋体"/>
                <w:color w:val="auto"/>
              </w:rPr>
              <w:t>用户登录</w:t>
            </w:r>
          </w:p>
        </w:tc>
        <w:tc>
          <w:tcPr>
            <w:tcW w:w="5084" w:type="dxa"/>
            <w:vAlign w:val="center"/>
          </w:tcPr>
          <w:p w14:paraId="0ACD2974">
            <w:pPr>
              <w:pStyle w:val="23"/>
              <w:numPr>
                <w:ilvl w:val="0"/>
                <w:numId w:val="3"/>
              </w:numPr>
              <w:snapToGrid w:val="0"/>
              <w:ind w:left="0" w:firstLine="0" w:firstLineChars="0"/>
              <w:contextualSpacing/>
              <w:rPr>
                <w:rFonts w:hint="eastAsia" w:ascii="宋体" w:hAnsi="宋体" w:cs="宋体"/>
                <w:color w:val="auto"/>
              </w:rPr>
            </w:pPr>
            <w:r>
              <w:rPr>
                <w:rFonts w:hint="eastAsia" w:ascii="宋体" w:hAnsi="宋体" w:cs="宋体"/>
                <w:color w:val="auto"/>
              </w:rPr>
              <w:t>实时统计当日挂号检查单总数、已完成检查单、待完成检查单</w:t>
            </w:r>
          </w:p>
          <w:p w14:paraId="7BBC1058">
            <w:pPr>
              <w:pStyle w:val="23"/>
              <w:numPr>
                <w:ilvl w:val="0"/>
                <w:numId w:val="3"/>
              </w:numPr>
              <w:snapToGrid w:val="0"/>
              <w:ind w:left="0" w:firstLine="0" w:firstLineChars="0"/>
              <w:contextualSpacing/>
              <w:rPr>
                <w:rFonts w:hint="eastAsia" w:ascii="宋体" w:hAnsi="宋体" w:cs="宋体"/>
                <w:color w:val="auto"/>
              </w:rPr>
            </w:pPr>
            <w:r>
              <w:rPr>
                <w:rFonts w:hint="eastAsia" w:ascii="宋体" w:hAnsi="宋体" w:cs="宋体"/>
                <w:color w:val="auto"/>
              </w:rPr>
              <w:t>柱状图展示当日检查单执行情况</w:t>
            </w:r>
          </w:p>
          <w:p w14:paraId="78CBEB90">
            <w:pPr>
              <w:pStyle w:val="23"/>
              <w:numPr>
                <w:ilvl w:val="0"/>
                <w:numId w:val="3"/>
              </w:numPr>
              <w:snapToGrid w:val="0"/>
              <w:ind w:left="0" w:firstLine="0" w:firstLineChars="0"/>
              <w:contextualSpacing/>
              <w:rPr>
                <w:rFonts w:hint="eastAsia" w:ascii="宋体" w:hAnsi="宋体" w:cs="宋体"/>
                <w:color w:val="auto"/>
              </w:rPr>
            </w:pPr>
            <w:r>
              <w:rPr>
                <w:rFonts w:hint="eastAsia" w:ascii="宋体" w:hAnsi="宋体" w:cs="宋体"/>
                <w:color w:val="auto"/>
              </w:rPr>
              <w:t>列表显示通知/论文信息，点击附件可下载</w:t>
            </w:r>
          </w:p>
          <w:p w14:paraId="4218ED39">
            <w:pPr>
              <w:pStyle w:val="23"/>
              <w:numPr>
                <w:ilvl w:val="0"/>
                <w:numId w:val="3"/>
              </w:numPr>
              <w:snapToGrid w:val="0"/>
              <w:ind w:left="0" w:firstLine="0" w:firstLineChars="0"/>
              <w:contextualSpacing/>
              <w:rPr>
                <w:rFonts w:hint="eastAsia" w:ascii="宋体" w:hAnsi="宋体" w:cs="宋体"/>
                <w:color w:val="auto"/>
              </w:rPr>
            </w:pPr>
            <w:r>
              <w:rPr>
                <w:rFonts w:hint="eastAsia" w:ascii="宋体" w:hAnsi="宋体" w:cs="宋体"/>
                <w:color w:val="auto"/>
              </w:rPr>
              <w:t>在页面右上方设置退出登录按钮，提供重置密码功能</w:t>
            </w:r>
          </w:p>
        </w:tc>
      </w:tr>
      <w:tr w14:paraId="16D0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restart"/>
            <w:vAlign w:val="center"/>
          </w:tcPr>
          <w:p w14:paraId="3B985492">
            <w:pPr>
              <w:jc w:val="center"/>
              <w:rPr>
                <w:rFonts w:hint="eastAsia" w:ascii="宋体" w:hAnsi="宋体" w:cs="宋体"/>
                <w:color w:val="auto"/>
              </w:rPr>
            </w:pPr>
            <w:r>
              <w:rPr>
                <w:rFonts w:hint="eastAsia" w:ascii="宋体" w:hAnsi="宋体" w:cs="宋体"/>
                <w:color w:val="auto"/>
              </w:rPr>
              <w:t>3</w:t>
            </w:r>
          </w:p>
        </w:tc>
        <w:tc>
          <w:tcPr>
            <w:tcW w:w="1180" w:type="dxa"/>
            <w:vMerge w:val="restart"/>
            <w:vAlign w:val="center"/>
          </w:tcPr>
          <w:p w14:paraId="5DF13609">
            <w:pPr>
              <w:rPr>
                <w:rFonts w:hint="eastAsia" w:ascii="宋体" w:hAnsi="宋体" w:cs="宋体"/>
                <w:color w:val="auto"/>
              </w:rPr>
            </w:pPr>
            <w:r>
              <w:rPr>
                <w:rFonts w:hint="eastAsia" w:ascii="宋体" w:hAnsi="宋体" w:cs="宋体"/>
                <w:color w:val="auto"/>
              </w:rPr>
              <w:t>检查工作站</w:t>
            </w:r>
          </w:p>
        </w:tc>
        <w:tc>
          <w:tcPr>
            <w:tcW w:w="1252" w:type="dxa"/>
            <w:vAlign w:val="center"/>
          </w:tcPr>
          <w:p w14:paraId="09B2DEAD">
            <w:pPr>
              <w:rPr>
                <w:rFonts w:hint="eastAsia" w:ascii="宋体" w:hAnsi="宋体" w:cs="宋体"/>
                <w:color w:val="auto"/>
              </w:rPr>
            </w:pPr>
            <w:r>
              <w:rPr>
                <w:rFonts w:hint="eastAsia" w:ascii="宋体" w:hAnsi="宋体" w:cs="宋体"/>
                <w:color w:val="auto"/>
              </w:rPr>
              <w:t>待检患者</w:t>
            </w:r>
          </w:p>
        </w:tc>
        <w:tc>
          <w:tcPr>
            <w:tcW w:w="5084" w:type="dxa"/>
            <w:vAlign w:val="center"/>
          </w:tcPr>
          <w:p w14:paraId="2E153970">
            <w:pPr>
              <w:pStyle w:val="23"/>
              <w:numPr>
                <w:ilvl w:val="0"/>
                <w:numId w:val="4"/>
              </w:numPr>
              <w:snapToGrid w:val="0"/>
              <w:ind w:left="0" w:firstLine="0" w:firstLineChars="0"/>
              <w:contextualSpacing/>
              <w:rPr>
                <w:rFonts w:hint="eastAsia" w:ascii="宋体" w:hAnsi="宋体" w:cs="宋体"/>
                <w:color w:val="auto"/>
              </w:rPr>
            </w:pPr>
            <w:r>
              <w:rPr>
                <w:rFonts w:hint="eastAsia" w:ascii="宋体" w:hAnsi="宋体" w:cs="宋体"/>
                <w:color w:val="auto"/>
              </w:rPr>
              <w:t>按照检查单申请时间排序，显示个人用户名下配置的检查项目中已开眼科检查项目的待检患者列表，包括患者基本信息、申请的检查项目名称、眼别、申请时间、缴费状态等</w:t>
            </w:r>
          </w:p>
          <w:p w14:paraId="7F494611">
            <w:pPr>
              <w:pStyle w:val="23"/>
              <w:numPr>
                <w:ilvl w:val="0"/>
                <w:numId w:val="4"/>
              </w:numPr>
              <w:snapToGrid w:val="0"/>
              <w:ind w:left="0" w:firstLine="0" w:firstLineChars="0"/>
              <w:contextualSpacing/>
              <w:rPr>
                <w:rFonts w:hint="eastAsia" w:ascii="宋体" w:hAnsi="宋体" w:cs="宋体"/>
                <w:color w:val="auto"/>
              </w:rPr>
            </w:pPr>
            <w:r>
              <w:rPr>
                <w:rFonts w:hint="eastAsia" w:ascii="宋体" w:hAnsi="宋体" w:cs="宋体"/>
                <w:color w:val="auto"/>
              </w:rPr>
              <w:t>选中患者后支持通过HIS接口读取显示当日医生的电子病历内容，可进行报告书写，可手动导入患者检查后的影像资料</w:t>
            </w:r>
          </w:p>
          <w:p w14:paraId="3911E5D9">
            <w:pPr>
              <w:pStyle w:val="23"/>
              <w:numPr>
                <w:ilvl w:val="0"/>
                <w:numId w:val="4"/>
              </w:numPr>
              <w:snapToGrid w:val="0"/>
              <w:ind w:left="0" w:firstLine="0" w:firstLineChars="0"/>
              <w:contextualSpacing/>
              <w:rPr>
                <w:rFonts w:hint="eastAsia" w:ascii="宋体" w:hAnsi="宋体" w:cs="宋体"/>
                <w:color w:val="auto"/>
              </w:rPr>
            </w:pPr>
            <w:r>
              <w:rPr>
                <w:rFonts w:hint="eastAsia" w:ascii="宋体" w:hAnsi="宋体" w:cs="宋体"/>
                <w:color w:val="auto"/>
              </w:rPr>
              <w:t>待检患者完成影像检查后，系统自动将检查医生筛选后保存在检查设备上的图像或打印的图像报告按程序规则对应上传到服务器指定的路径下统一管理</w:t>
            </w:r>
          </w:p>
          <w:p w14:paraId="7EAB906B">
            <w:pPr>
              <w:pStyle w:val="23"/>
              <w:numPr>
                <w:ilvl w:val="0"/>
                <w:numId w:val="4"/>
              </w:numPr>
              <w:snapToGrid w:val="0"/>
              <w:ind w:left="0" w:firstLine="0" w:firstLineChars="0"/>
              <w:contextualSpacing/>
              <w:rPr>
                <w:rFonts w:hint="eastAsia" w:ascii="宋体" w:hAnsi="宋体" w:cs="宋体"/>
                <w:color w:val="auto"/>
              </w:rPr>
            </w:pPr>
            <w:r>
              <w:rPr>
                <w:rFonts w:hint="eastAsia" w:ascii="宋体" w:hAnsi="宋体" w:cs="宋体"/>
                <w:color w:val="auto"/>
              </w:rPr>
              <w:t>页面设置眼科所有检查项目名称下拉列表，实现查看单一检查项目的患者列表，提供单一条件查询和多条件组合的高级查询功能</w:t>
            </w:r>
          </w:p>
        </w:tc>
      </w:tr>
      <w:tr w14:paraId="16E2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4FAE79D4">
            <w:pPr>
              <w:jc w:val="center"/>
              <w:rPr>
                <w:rFonts w:hint="eastAsia" w:ascii="宋体" w:hAnsi="宋体" w:cs="宋体"/>
                <w:color w:val="auto"/>
              </w:rPr>
            </w:pPr>
          </w:p>
        </w:tc>
        <w:tc>
          <w:tcPr>
            <w:tcW w:w="1180" w:type="dxa"/>
            <w:vMerge w:val="continue"/>
            <w:vAlign w:val="center"/>
          </w:tcPr>
          <w:p w14:paraId="73848BFC">
            <w:pPr>
              <w:rPr>
                <w:rFonts w:hint="eastAsia" w:ascii="宋体" w:hAnsi="宋体" w:cs="宋体"/>
                <w:color w:val="auto"/>
              </w:rPr>
            </w:pPr>
          </w:p>
        </w:tc>
        <w:tc>
          <w:tcPr>
            <w:tcW w:w="1252" w:type="dxa"/>
            <w:vAlign w:val="center"/>
          </w:tcPr>
          <w:p w14:paraId="3EFB37CF">
            <w:pPr>
              <w:rPr>
                <w:rFonts w:hint="eastAsia" w:ascii="宋体" w:hAnsi="宋体" w:cs="宋体"/>
                <w:color w:val="auto"/>
              </w:rPr>
            </w:pPr>
            <w:r>
              <w:rPr>
                <w:rFonts w:hint="eastAsia" w:ascii="宋体" w:hAnsi="宋体" w:cs="宋体"/>
                <w:color w:val="auto"/>
              </w:rPr>
              <w:t>已检患者</w:t>
            </w:r>
          </w:p>
        </w:tc>
        <w:tc>
          <w:tcPr>
            <w:tcW w:w="5084" w:type="dxa"/>
            <w:vAlign w:val="center"/>
          </w:tcPr>
          <w:p w14:paraId="4698E461">
            <w:pPr>
              <w:pStyle w:val="23"/>
              <w:numPr>
                <w:ilvl w:val="0"/>
                <w:numId w:val="5"/>
              </w:numPr>
              <w:snapToGrid w:val="0"/>
              <w:ind w:left="0" w:firstLine="0" w:firstLineChars="0"/>
              <w:contextualSpacing/>
              <w:rPr>
                <w:rFonts w:hint="eastAsia" w:ascii="宋体" w:hAnsi="宋体" w:cs="宋体"/>
                <w:color w:val="auto"/>
              </w:rPr>
            </w:pPr>
            <w:r>
              <w:rPr>
                <w:rFonts w:hint="eastAsia" w:ascii="宋体" w:hAnsi="宋体" w:cs="宋体"/>
                <w:color w:val="auto"/>
              </w:rPr>
              <w:t>按照检查单完成时间排序，显示已出具检查项目文字报告的已检患者列表，包括患者基本信息、申请的检查项目名称、眼别、申请时间、检查时间、检查单完成状态等</w:t>
            </w:r>
          </w:p>
          <w:p w14:paraId="727E3174">
            <w:pPr>
              <w:pStyle w:val="23"/>
              <w:numPr>
                <w:ilvl w:val="0"/>
                <w:numId w:val="5"/>
              </w:numPr>
              <w:snapToGrid w:val="0"/>
              <w:ind w:left="0" w:firstLine="0" w:firstLineChars="0"/>
              <w:contextualSpacing/>
              <w:rPr>
                <w:rFonts w:hint="eastAsia" w:ascii="宋体" w:hAnsi="宋体" w:cs="宋体"/>
                <w:color w:val="auto"/>
              </w:rPr>
            </w:pPr>
            <w:r>
              <w:rPr>
                <w:rFonts w:hint="eastAsia" w:ascii="宋体" w:hAnsi="宋体" w:cs="宋体"/>
                <w:color w:val="auto"/>
              </w:rPr>
              <w:t>选中患者后可查看已出的文字报告内容和成功上传的影像资料，检查医生可修改本人当天的报告内容，可手动补传患者检查后未自动/手动导入的影像资料</w:t>
            </w:r>
          </w:p>
          <w:p w14:paraId="6E3C35A2">
            <w:pPr>
              <w:pStyle w:val="23"/>
              <w:numPr>
                <w:ilvl w:val="0"/>
                <w:numId w:val="5"/>
              </w:numPr>
              <w:snapToGrid w:val="0"/>
              <w:ind w:left="0" w:firstLine="0" w:firstLineChars="0"/>
              <w:contextualSpacing/>
              <w:rPr>
                <w:rFonts w:hint="eastAsia" w:ascii="宋体" w:hAnsi="宋体" w:cs="宋体"/>
                <w:color w:val="auto"/>
              </w:rPr>
            </w:pPr>
            <w:r>
              <w:rPr>
                <w:rFonts w:hint="eastAsia" w:ascii="宋体" w:hAnsi="宋体" w:cs="宋体"/>
                <w:color w:val="auto"/>
              </w:rPr>
              <w:t>页面设置眼科所有检查项目名称下拉列表，实现查看单一检查项目的患者列表，提供单一条件查询和多条件组合的高级查询功能</w:t>
            </w:r>
          </w:p>
        </w:tc>
      </w:tr>
      <w:tr w14:paraId="6852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0BCF4FBB">
            <w:pPr>
              <w:jc w:val="center"/>
              <w:rPr>
                <w:rFonts w:hint="eastAsia" w:ascii="宋体" w:hAnsi="宋体" w:cs="宋体"/>
                <w:color w:val="auto"/>
              </w:rPr>
            </w:pPr>
          </w:p>
        </w:tc>
        <w:tc>
          <w:tcPr>
            <w:tcW w:w="1180" w:type="dxa"/>
            <w:vMerge w:val="continue"/>
            <w:vAlign w:val="center"/>
          </w:tcPr>
          <w:p w14:paraId="2B32831D">
            <w:pPr>
              <w:rPr>
                <w:rFonts w:hint="eastAsia" w:ascii="宋体" w:hAnsi="宋体" w:cs="宋体"/>
                <w:color w:val="auto"/>
              </w:rPr>
            </w:pPr>
          </w:p>
        </w:tc>
        <w:tc>
          <w:tcPr>
            <w:tcW w:w="1252" w:type="dxa"/>
            <w:vAlign w:val="center"/>
          </w:tcPr>
          <w:p w14:paraId="4BDCC2A1">
            <w:pPr>
              <w:rPr>
                <w:rFonts w:hint="eastAsia" w:ascii="宋体" w:hAnsi="宋体" w:cs="宋体"/>
                <w:color w:val="auto"/>
              </w:rPr>
            </w:pPr>
            <w:r>
              <w:rPr>
                <w:rFonts w:hint="eastAsia" w:ascii="宋体" w:hAnsi="宋体" w:cs="宋体"/>
                <w:color w:val="auto"/>
              </w:rPr>
              <w:t>未出报告</w:t>
            </w:r>
          </w:p>
        </w:tc>
        <w:tc>
          <w:tcPr>
            <w:tcW w:w="5084" w:type="dxa"/>
            <w:vAlign w:val="center"/>
          </w:tcPr>
          <w:p w14:paraId="6F23852F">
            <w:pPr>
              <w:rPr>
                <w:rFonts w:hint="eastAsia" w:ascii="宋体" w:hAnsi="宋体" w:cs="宋体"/>
                <w:color w:val="auto"/>
              </w:rPr>
            </w:pPr>
            <w:r>
              <w:rPr>
                <w:rFonts w:hint="eastAsia" w:ascii="宋体" w:hAnsi="宋体" w:cs="宋体"/>
                <w:color w:val="auto"/>
              </w:rPr>
              <w:t>根据条件查询未出报告（没有填写文字结果）患者选择对应患者双击进入报告编辑页面，包含以下功能</w:t>
            </w:r>
          </w:p>
          <w:p w14:paraId="40B94F17">
            <w:pPr>
              <w:pStyle w:val="23"/>
              <w:numPr>
                <w:ilvl w:val="0"/>
                <w:numId w:val="6"/>
              </w:numPr>
              <w:snapToGrid w:val="0"/>
              <w:ind w:left="0" w:firstLine="0" w:firstLineChars="0"/>
              <w:contextualSpacing/>
              <w:rPr>
                <w:rFonts w:hint="eastAsia" w:ascii="宋体" w:hAnsi="宋体" w:cs="宋体"/>
                <w:color w:val="auto"/>
              </w:rPr>
            </w:pPr>
            <w:r>
              <w:rPr>
                <w:rFonts w:hint="eastAsia" w:ascii="宋体" w:hAnsi="宋体" w:cs="宋体"/>
                <w:color w:val="auto"/>
              </w:rPr>
              <w:t>填写报告内容,保存与打印</w:t>
            </w:r>
          </w:p>
          <w:p w14:paraId="201BF84E">
            <w:pPr>
              <w:pStyle w:val="23"/>
              <w:numPr>
                <w:ilvl w:val="0"/>
                <w:numId w:val="6"/>
              </w:numPr>
              <w:snapToGrid w:val="0"/>
              <w:ind w:left="0" w:firstLine="0" w:firstLineChars="0"/>
              <w:contextualSpacing/>
              <w:rPr>
                <w:rFonts w:hint="eastAsia" w:ascii="宋体" w:hAnsi="宋体" w:cs="宋体"/>
                <w:color w:val="auto"/>
              </w:rPr>
            </w:pPr>
            <w:r>
              <w:rPr>
                <w:rFonts w:hint="eastAsia" w:ascii="宋体" w:hAnsi="宋体" w:cs="宋体"/>
                <w:color w:val="auto"/>
              </w:rPr>
              <w:t>查看同一检查项目的历史报告</w:t>
            </w:r>
          </w:p>
          <w:p w14:paraId="6C117EBB">
            <w:pPr>
              <w:pStyle w:val="23"/>
              <w:numPr>
                <w:ilvl w:val="0"/>
                <w:numId w:val="6"/>
              </w:numPr>
              <w:snapToGrid w:val="0"/>
              <w:ind w:left="0" w:firstLine="0" w:firstLineChars="0"/>
              <w:contextualSpacing/>
              <w:rPr>
                <w:rFonts w:hint="eastAsia" w:ascii="宋体" w:hAnsi="宋体" w:cs="宋体"/>
                <w:color w:val="auto"/>
              </w:rPr>
            </w:pPr>
            <w:r>
              <w:rPr>
                <w:rFonts w:hint="eastAsia" w:ascii="宋体" w:hAnsi="宋体" w:cs="宋体"/>
                <w:color w:val="auto"/>
              </w:rPr>
              <w:t>查看同一检查项目图片，按时间排序</w:t>
            </w:r>
          </w:p>
          <w:p w14:paraId="7637C730">
            <w:pPr>
              <w:pStyle w:val="23"/>
              <w:numPr>
                <w:ilvl w:val="0"/>
                <w:numId w:val="6"/>
              </w:numPr>
              <w:snapToGrid w:val="0"/>
              <w:ind w:left="0" w:firstLine="0" w:firstLineChars="0"/>
              <w:contextualSpacing/>
              <w:rPr>
                <w:rFonts w:hint="eastAsia" w:ascii="宋体" w:hAnsi="宋体" w:cs="宋体"/>
                <w:color w:val="auto"/>
              </w:rPr>
            </w:pPr>
            <w:r>
              <w:rPr>
                <w:rFonts w:hint="eastAsia" w:ascii="宋体" w:hAnsi="宋体" w:cs="宋体"/>
                <w:color w:val="auto"/>
              </w:rPr>
              <w:t>导出同一检查图片，导出该病人所有图片</w:t>
            </w:r>
          </w:p>
          <w:p w14:paraId="54E174FF">
            <w:pPr>
              <w:pStyle w:val="23"/>
              <w:numPr>
                <w:ilvl w:val="0"/>
                <w:numId w:val="6"/>
              </w:numPr>
              <w:snapToGrid w:val="0"/>
              <w:ind w:left="0" w:firstLine="0" w:firstLineChars="0"/>
              <w:contextualSpacing/>
              <w:rPr>
                <w:rFonts w:hint="eastAsia" w:ascii="宋体" w:hAnsi="宋体" w:cs="宋体"/>
                <w:color w:val="auto"/>
              </w:rPr>
            </w:pPr>
            <w:r>
              <w:rPr>
                <w:rFonts w:hint="eastAsia" w:ascii="宋体" w:hAnsi="宋体" w:cs="宋体"/>
                <w:color w:val="auto"/>
              </w:rPr>
              <w:t>查看门诊病历</w:t>
            </w:r>
          </w:p>
        </w:tc>
      </w:tr>
      <w:tr w14:paraId="117B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36352CAA">
            <w:pPr>
              <w:jc w:val="center"/>
              <w:rPr>
                <w:rFonts w:hint="eastAsia" w:ascii="宋体" w:hAnsi="宋体" w:cs="宋体"/>
                <w:color w:val="auto"/>
              </w:rPr>
            </w:pPr>
          </w:p>
        </w:tc>
        <w:tc>
          <w:tcPr>
            <w:tcW w:w="1180" w:type="dxa"/>
            <w:vMerge w:val="continue"/>
            <w:vAlign w:val="center"/>
          </w:tcPr>
          <w:p w14:paraId="30FF4003">
            <w:pPr>
              <w:rPr>
                <w:rFonts w:hint="eastAsia" w:ascii="宋体" w:hAnsi="宋体" w:cs="宋体"/>
                <w:color w:val="auto"/>
              </w:rPr>
            </w:pPr>
          </w:p>
        </w:tc>
        <w:tc>
          <w:tcPr>
            <w:tcW w:w="1252" w:type="dxa"/>
            <w:vAlign w:val="center"/>
          </w:tcPr>
          <w:p w14:paraId="4B478D27">
            <w:pPr>
              <w:rPr>
                <w:rFonts w:hint="eastAsia" w:ascii="宋体" w:hAnsi="宋体" w:cs="宋体"/>
                <w:color w:val="auto"/>
              </w:rPr>
            </w:pPr>
            <w:r>
              <w:rPr>
                <w:rFonts w:hint="eastAsia" w:ascii="宋体" w:hAnsi="宋体" w:cs="宋体"/>
                <w:color w:val="auto"/>
              </w:rPr>
              <w:t>已出报告</w:t>
            </w:r>
          </w:p>
        </w:tc>
        <w:tc>
          <w:tcPr>
            <w:tcW w:w="5084" w:type="dxa"/>
            <w:vAlign w:val="center"/>
          </w:tcPr>
          <w:p w14:paraId="12FEF7BF">
            <w:pPr>
              <w:rPr>
                <w:rFonts w:hint="eastAsia" w:ascii="宋体" w:hAnsi="宋体" w:cs="宋体"/>
                <w:color w:val="auto"/>
              </w:rPr>
            </w:pPr>
            <w:r>
              <w:rPr>
                <w:rFonts w:hint="eastAsia" w:ascii="宋体" w:hAnsi="宋体" w:cs="宋体"/>
                <w:color w:val="auto"/>
              </w:rPr>
              <w:t>根据条件查询已出报告患者，选择对应患者双击进入报告编辑页面，只有当天的报告才能修改，包含以下内容：</w:t>
            </w:r>
          </w:p>
          <w:p w14:paraId="5A732769">
            <w:pPr>
              <w:pStyle w:val="23"/>
              <w:numPr>
                <w:ilvl w:val="0"/>
                <w:numId w:val="7"/>
              </w:numPr>
              <w:snapToGrid w:val="0"/>
              <w:ind w:left="0" w:firstLine="0" w:firstLineChars="0"/>
              <w:contextualSpacing/>
              <w:rPr>
                <w:rFonts w:hint="eastAsia" w:ascii="宋体" w:hAnsi="宋体" w:cs="宋体"/>
                <w:color w:val="auto"/>
              </w:rPr>
            </w:pPr>
            <w:r>
              <w:rPr>
                <w:rFonts w:hint="eastAsia" w:ascii="宋体" w:hAnsi="宋体" w:cs="宋体"/>
                <w:color w:val="auto"/>
              </w:rPr>
              <w:t>填写报告内容,保存与打印</w:t>
            </w:r>
          </w:p>
          <w:p w14:paraId="0EBBDCDC">
            <w:pPr>
              <w:pStyle w:val="23"/>
              <w:numPr>
                <w:ilvl w:val="0"/>
                <w:numId w:val="7"/>
              </w:numPr>
              <w:snapToGrid w:val="0"/>
              <w:ind w:left="0" w:firstLine="0" w:firstLineChars="0"/>
              <w:contextualSpacing/>
              <w:rPr>
                <w:rFonts w:hint="eastAsia" w:ascii="宋体" w:hAnsi="宋体" w:cs="宋体"/>
                <w:color w:val="auto"/>
              </w:rPr>
            </w:pPr>
            <w:r>
              <w:rPr>
                <w:rFonts w:hint="eastAsia" w:ascii="宋体" w:hAnsi="宋体" w:cs="宋体"/>
                <w:color w:val="auto"/>
              </w:rPr>
              <w:t>查看同一检查项目的历史报告</w:t>
            </w:r>
          </w:p>
          <w:p w14:paraId="5814A51C">
            <w:pPr>
              <w:pStyle w:val="23"/>
              <w:numPr>
                <w:ilvl w:val="0"/>
                <w:numId w:val="7"/>
              </w:numPr>
              <w:snapToGrid w:val="0"/>
              <w:ind w:left="0" w:firstLine="0" w:firstLineChars="0"/>
              <w:contextualSpacing/>
              <w:rPr>
                <w:rFonts w:hint="eastAsia" w:ascii="宋体" w:hAnsi="宋体" w:cs="宋体"/>
                <w:color w:val="auto"/>
              </w:rPr>
            </w:pPr>
            <w:r>
              <w:rPr>
                <w:rFonts w:hint="eastAsia" w:ascii="宋体" w:hAnsi="宋体" w:cs="宋体"/>
                <w:color w:val="auto"/>
              </w:rPr>
              <w:t>查看同一检查项目图片，按时间排序</w:t>
            </w:r>
          </w:p>
          <w:p w14:paraId="2B0EFE10">
            <w:pPr>
              <w:pStyle w:val="23"/>
              <w:numPr>
                <w:ilvl w:val="0"/>
                <w:numId w:val="7"/>
              </w:numPr>
              <w:snapToGrid w:val="0"/>
              <w:ind w:left="0" w:firstLine="0" w:firstLineChars="0"/>
              <w:contextualSpacing/>
              <w:rPr>
                <w:rFonts w:hint="eastAsia" w:ascii="宋体" w:hAnsi="宋体" w:cs="宋体"/>
                <w:color w:val="auto"/>
              </w:rPr>
            </w:pPr>
            <w:r>
              <w:rPr>
                <w:rFonts w:hint="eastAsia" w:ascii="宋体" w:hAnsi="宋体" w:cs="宋体"/>
                <w:color w:val="auto"/>
              </w:rPr>
              <w:t>导出同一检查图片，导出该病人所有图片</w:t>
            </w:r>
          </w:p>
          <w:p w14:paraId="79356BF3">
            <w:pPr>
              <w:pStyle w:val="23"/>
              <w:numPr>
                <w:ilvl w:val="0"/>
                <w:numId w:val="7"/>
              </w:numPr>
              <w:snapToGrid w:val="0"/>
              <w:ind w:left="0" w:firstLine="0" w:firstLineChars="0"/>
              <w:contextualSpacing/>
              <w:rPr>
                <w:rFonts w:hint="eastAsia" w:ascii="宋体" w:hAnsi="宋体" w:cs="宋体"/>
                <w:color w:val="auto"/>
              </w:rPr>
            </w:pPr>
            <w:r>
              <w:rPr>
                <w:rFonts w:hint="eastAsia" w:ascii="宋体" w:hAnsi="宋体" w:cs="宋体"/>
                <w:color w:val="auto"/>
              </w:rPr>
              <w:t>查看门诊病历</w:t>
            </w:r>
          </w:p>
        </w:tc>
      </w:tr>
      <w:tr w14:paraId="1878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3EC7E793">
            <w:pPr>
              <w:jc w:val="center"/>
              <w:rPr>
                <w:rFonts w:hint="eastAsia" w:ascii="宋体" w:hAnsi="宋体" w:cs="宋体"/>
                <w:color w:val="auto"/>
              </w:rPr>
            </w:pPr>
          </w:p>
        </w:tc>
        <w:tc>
          <w:tcPr>
            <w:tcW w:w="1180" w:type="dxa"/>
            <w:vMerge w:val="continue"/>
            <w:vAlign w:val="center"/>
          </w:tcPr>
          <w:p w14:paraId="160BBA30">
            <w:pPr>
              <w:rPr>
                <w:rFonts w:hint="eastAsia" w:ascii="宋体" w:hAnsi="宋体" w:cs="宋体"/>
                <w:color w:val="auto"/>
              </w:rPr>
            </w:pPr>
          </w:p>
        </w:tc>
        <w:tc>
          <w:tcPr>
            <w:tcW w:w="1252" w:type="dxa"/>
            <w:vAlign w:val="center"/>
          </w:tcPr>
          <w:p w14:paraId="5AF2775D">
            <w:pPr>
              <w:rPr>
                <w:rFonts w:hint="eastAsia" w:ascii="宋体" w:hAnsi="宋体" w:cs="宋体"/>
                <w:color w:val="auto"/>
              </w:rPr>
            </w:pPr>
            <w:r>
              <w:rPr>
                <w:rFonts w:hint="eastAsia" w:ascii="宋体" w:hAnsi="宋体" w:cs="宋体"/>
                <w:color w:val="auto"/>
              </w:rPr>
              <w:t>治疗患者</w:t>
            </w:r>
          </w:p>
        </w:tc>
        <w:tc>
          <w:tcPr>
            <w:tcW w:w="5084" w:type="dxa"/>
            <w:vAlign w:val="center"/>
          </w:tcPr>
          <w:p w14:paraId="22D9FFE8">
            <w:pPr>
              <w:pStyle w:val="23"/>
              <w:numPr>
                <w:ilvl w:val="0"/>
                <w:numId w:val="8"/>
              </w:numPr>
              <w:snapToGrid w:val="0"/>
              <w:ind w:left="0" w:firstLine="0" w:firstLineChars="0"/>
              <w:contextualSpacing/>
              <w:rPr>
                <w:rFonts w:hint="eastAsia" w:ascii="宋体" w:hAnsi="宋体" w:cs="宋体"/>
                <w:color w:val="auto"/>
              </w:rPr>
            </w:pPr>
            <w:r>
              <w:rPr>
                <w:rFonts w:hint="eastAsia" w:ascii="宋体" w:hAnsi="宋体" w:cs="宋体"/>
                <w:color w:val="auto"/>
              </w:rPr>
              <w:t>眼科开单治疗项目患者列表展示，可根据患者、姓名、  治疗项目、治疗医生、治疗时间等条件查询</w:t>
            </w:r>
          </w:p>
          <w:p w14:paraId="203B27F2">
            <w:pPr>
              <w:pStyle w:val="23"/>
              <w:numPr>
                <w:ilvl w:val="0"/>
                <w:numId w:val="8"/>
              </w:numPr>
              <w:snapToGrid w:val="0"/>
              <w:ind w:left="0" w:firstLine="0" w:firstLineChars="0"/>
              <w:contextualSpacing/>
              <w:rPr>
                <w:rFonts w:hint="eastAsia" w:ascii="宋体" w:hAnsi="宋体" w:cs="宋体"/>
                <w:color w:val="auto"/>
              </w:rPr>
            </w:pPr>
            <w:r>
              <w:rPr>
                <w:rFonts w:hint="eastAsia" w:ascii="宋体" w:hAnsi="宋体" w:cs="宋体"/>
                <w:color w:val="auto"/>
              </w:rPr>
              <w:t>实现对治疗患者治疗结果、对应治疗医生记录和打印</w:t>
            </w:r>
          </w:p>
        </w:tc>
      </w:tr>
      <w:tr w14:paraId="49D2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582495F3">
            <w:pPr>
              <w:jc w:val="center"/>
              <w:rPr>
                <w:rFonts w:hint="eastAsia" w:ascii="宋体" w:hAnsi="宋体" w:cs="宋体"/>
                <w:color w:val="auto"/>
              </w:rPr>
            </w:pPr>
          </w:p>
        </w:tc>
        <w:tc>
          <w:tcPr>
            <w:tcW w:w="1180" w:type="dxa"/>
            <w:vMerge w:val="continue"/>
            <w:vAlign w:val="center"/>
          </w:tcPr>
          <w:p w14:paraId="0E997514">
            <w:pPr>
              <w:rPr>
                <w:rFonts w:hint="eastAsia" w:ascii="宋体" w:hAnsi="宋体" w:cs="宋体"/>
                <w:color w:val="auto"/>
              </w:rPr>
            </w:pPr>
          </w:p>
        </w:tc>
        <w:tc>
          <w:tcPr>
            <w:tcW w:w="1252" w:type="dxa"/>
            <w:vAlign w:val="center"/>
          </w:tcPr>
          <w:p w14:paraId="302D4606">
            <w:pPr>
              <w:rPr>
                <w:rFonts w:hint="eastAsia" w:ascii="宋体" w:hAnsi="宋体" w:cs="宋体"/>
                <w:color w:val="auto"/>
              </w:rPr>
            </w:pPr>
            <w:r>
              <w:rPr>
                <w:rFonts w:hint="eastAsia" w:ascii="宋体" w:hAnsi="宋体" w:cs="宋体"/>
                <w:color w:val="auto"/>
              </w:rPr>
              <w:t>检查单管理</w:t>
            </w:r>
          </w:p>
        </w:tc>
        <w:tc>
          <w:tcPr>
            <w:tcW w:w="5084" w:type="dxa"/>
            <w:vAlign w:val="center"/>
          </w:tcPr>
          <w:p w14:paraId="53E43224">
            <w:pPr>
              <w:pStyle w:val="23"/>
              <w:snapToGrid w:val="0"/>
              <w:ind w:firstLine="0" w:firstLineChars="0"/>
              <w:contextualSpacing/>
              <w:rPr>
                <w:rFonts w:hint="eastAsia" w:ascii="宋体" w:hAnsi="宋体" w:cs="宋体"/>
                <w:color w:val="auto"/>
              </w:rPr>
            </w:pPr>
            <w:r>
              <w:rPr>
                <w:rFonts w:ascii="宋体" w:hAnsi="宋体" w:cs="宋体"/>
                <w:color w:val="auto"/>
              </w:rPr>
              <w:t>1、</w:t>
            </w:r>
            <w:r>
              <w:rPr>
                <w:rFonts w:hint="eastAsia" w:ascii="宋体" w:hAnsi="宋体" w:cs="宋体"/>
                <w:color w:val="auto"/>
              </w:rPr>
              <w:t>检查单登记，默认展示患者检查单列表/患者列表，支持固定条件查询，对于检查单异常的患者可进行已开项目的手动登记，以便于检查医生对应出电子报告</w:t>
            </w:r>
          </w:p>
          <w:p w14:paraId="7464605F">
            <w:pPr>
              <w:pStyle w:val="23"/>
              <w:snapToGrid w:val="0"/>
              <w:ind w:firstLine="0" w:firstLineChars="0"/>
              <w:contextualSpacing/>
              <w:rPr>
                <w:rFonts w:hint="eastAsia" w:ascii="宋体" w:hAnsi="宋体" w:cs="宋体"/>
                <w:color w:val="auto"/>
              </w:rPr>
            </w:pPr>
            <w:r>
              <w:rPr>
                <w:rFonts w:ascii="宋体" w:hAnsi="宋体" w:cs="宋体"/>
                <w:color w:val="auto"/>
              </w:rPr>
              <w:t>2、</w:t>
            </w:r>
            <w:r>
              <w:rPr>
                <w:rFonts w:hint="eastAsia" w:ascii="宋体" w:hAnsi="宋体" w:cs="宋体"/>
                <w:color w:val="auto"/>
              </w:rPr>
              <w:t>删除检查单，对开放删除权限的用户，选择对应检查单，点击删除确认</w:t>
            </w:r>
          </w:p>
        </w:tc>
      </w:tr>
      <w:tr w14:paraId="15B9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1D1A44DA">
            <w:pPr>
              <w:jc w:val="center"/>
              <w:rPr>
                <w:rFonts w:hint="eastAsia" w:ascii="宋体" w:hAnsi="宋体" w:cs="宋体"/>
                <w:color w:val="auto"/>
              </w:rPr>
            </w:pPr>
          </w:p>
        </w:tc>
        <w:tc>
          <w:tcPr>
            <w:tcW w:w="1180" w:type="dxa"/>
            <w:vMerge w:val="continue"/>
            <w:vAlign w:val="center"/>
          </w:tcPr>
          <w:p w14:paraId="13D02914">
            <w:pPr>
              <w:rPr>
                <w:rFonts w:hint="eastAsia" w:ascii="宋体" w:hAnsi="宋体" w:cs="宋体"/>
                <w:color w:val="auto"/>
              </w:rPr>
            </w:pPr>
          </w:p>
        </w:tc>
        <w:tc>
          <w:tcPr>
            <w:tcW w:w="1252" w:type="dxa"/>
            <w:vAlign w:val="center"/>
          </w:tcPr>
          <w:p w14:paraId="33C49B7D">
            <w:pPr>
              <w:rPr>
                <w:rFonts w:hint="eastAsia" w:ascii="宋体" w:hAnsi="宋体" w:cs="宋体"/>
                <w:color w:val="auto"/>
              </w:rPr>
            </w:pPr>
            <w:r>
              <w:rPr>
                <w:rFonts w:hint="eastAsia" w:ascii="宋体" w:hAnsi="宋体" w:cs="宋体"/>
                <w:color w:val="auto"/>
              </w:rPr>
              <w:t>既往报告</w:t>
            </w:r>
          </w:p>
        </w:tc>
        <w:tc>
          <w:tcPr>
            <w:tcW w:w="5084" w:type="dxa"/>
            <w:vAlign w:val="center"/>
          </w:tcPr>
          <w:p w14:paraId="188DDF3B">
            <w:pPr>
              <w:rPr>
                <w:rFonts w:hint="eastAsia" w:ascii="宋体" w:hAnsi="宋体" w:cs="宋体"/>
                <w:color w:val="auto"/>
              </w:rPr>
            </w:pPr>
            <w:r>
              <w:rPr>
                <w:rFonts w:hint="eastAsia" w:ascii="宋体" w:hAnsi="宋体" w:cs="宋体"/>
                <w:color w:val="auto"/>
              </w:rPr>
              <w:t>实现眼科既往系统中眼科所有检查报告内容的查询，多次报告结果以列表显示，可按单项检查项目检索</w:t>
            </w:r>
          </w:p>
        </w:tc>
      </w:tr>
      <w:tr w14:paraId="39F4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0E124C74">
            <w:pPr>
              <w:jc w:val="center"/>
              <w:rPr>
                <w:rFonts w:hint="eastAsia" w:ascii="宋体" w:hAnsi="宋体" w:cs="宋体"/>
                <w:color w:val="auto"/>
              </w:rPr>
            </w:pPr>
          </w:p>
        </w:tc>
        <w:tc>
          <w:tcPr>
            <w:tcW w:w="1180" w:type="dxa"/>
            <w:vMerge w:val="continue"/>
            <w:vAlign w:val="center"/>
          </w:tcPr>
          <w:p w14:paraId="6F0BB343">
            <w:pPr>
              <w:rPr>
                <w:rFonts w:hint="eastAsia" w:ascii="宋体" w:hAnsi="宋体" w:cs="宋体"/>
                <w:color w:val="auto"/>
              </w:rPr>
            </w:pPr>
          </w:p>
        </w:tc>
        <w:tc>
          <w:tcPr>
            <w:tcW w:w="1252" w:type="dxa"/>
            <w:vAlign w:val="center"/>
          </w:tcPr>
          <w:p w14:paraId="2EE9093A">
            <w:pPr>
              <w:rPr>
                <w:rFonts w:hint="eastAsia" w:ascii="宋体" w:hAnsi="宋体" w:cs="宋体"/>
                <w:color w:val="auto"/>
              </w:rPr>
            </w:pPr>
            <w:r>
              <w:rPr>
                <w:rFonts w:hint="eastAsia" w:ascii="宋体" w:hAnsi="宋体" w:cs="宋体"/>
                <w:color w:val="auto"/>
              </w:rPr>
              <w:t>影像导出</w:t>
            </w:r>
          </w:p>
        </w:tc>
        <w:tc>
          <w:tcPr>
            <w:tcW w:w="5084" w:type="dxa"/>
            <w:vAlign w:val="center"/>
          </w:tcPr>
          <w:p w14:paraId="3D13C186">
            <w:pPr>
              <w:rPr>
                <w:rFonts w:hint="eastAsia" w:ascii="宋体" w:hAnsi="宋体" w:cs="宋体"/>
                <w:color w:val="auto"/>
              </w:rPr>
            </w:pPr>
            <w:r>
              <w:rPr>
                <w:rFonts w:hint="eastAsia" w:ascii="宋体" w:hAnsi="宋体" w:cs="宋体"/>
                <w:color w:val="auto"/>
              </w:rPr>
              <w:t>可按照检查单完成时间排序，显示已完成检查的所有包含影像资料项目的患者列表，选中患者可查看对应影像结果，并可进行资料导出</w:t>
            </w:r>
          </w:p>
        </w:tc>
      </w:tr>
      <w:tr w14:paraId="1C2C8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restart"/>
            <w:vAlign w:val="center"/>
          </w:tcPr>
          <w:p w14:paraId="61E964CE">
            <w:pPr>
              <w:jc w:val="center"/>
              <w:rPr>
                <w:rFonts w:hint="eastAsia" w:ascii="宋体" w:hAnsi="宋体" w:cs="宋体"/>
                <w:color w:val="auto"/>
              </w:rPr>
            </w:pPr>
            <w:r>
              <w:rPr>
                <w:rFonts w:hint="eastAsia" w:ascii="宋体" w:hAnsi="宋体" w:cs="宋体"/>
                <w:color w:val="auto"/>
              </w:rPr>
              <w:t>4</w:t>
            </w:r>
          </w:p>
        </w:tc>
        <w:tc>
          <w:tcPr>
            <w:tcW w:w="1180" w:type="dxa"/>
            <w:vMerge w:val="restart"/>
            <w:vAlign w:val="center"/>
          </w:tcPr>
          <w:p w14:paraId="51CD2C38">
            <w:pPr>
              <w:rPr>
                <w:rFonts w:hint="eastAsia" w:ascii="宋体" w:hAnsi="宋体" w:cs="宋体"/>
                <w:color w:val="auto"/>
              </w:rPr>
            </w:pPr>
            <w:r>
              <w:rPr>
                <w:rFonts w:hint="eastAsia" w:ascii="宋体" w:hAnsi="宋体" w:cs="宋体"/>
                <w:color w:val="auto"/>
              </w:rPr>
              <w:t>模板管理</w:t>
            </w:r>
          </w:p>
        </w:tc>
        <w:tc>
          <w:tcPr>
            <w:tcW w:w="1252" w:type="dxa"/>
            <w:vAlign w:val="center"/>
          </w:tcPr>
          <w:p w14:paraId="47264413">
            <w:pPr>
              <w:rPr>
                <w:rFonts w:hint="eastAsia" w:ascii="宋体" w:hAnsi="宋体" w:cs="宋体"/>
                <w:color w:val="auto"/>
              </w:rPr>
            </w:pPr>
            <w:r>
              <w:rPr>
                <w:rFonts w:hint="eastAsia" w:ascii="宋体" w:hAnsi="宋体" w:cs="宋体"/>
                <w:color w:val="auto"/>
              </w:rPr>
              <w:t>检查输入模板</w:t>
            </w:r>
          </w:p>
        </w:tc>
        <w:tc>
          <w:tcPr>
            <w:tcW w:w="5084" w:type="dxa"/>
            <w:vAlign w:val="center"/>
          </w:tcPr>
          <w:p w14:paraId="220E5DAD">
            <w:pPr>
              <w:rPr>
                <w:rFonts w:hint="eastAsia" w:ascii="宋体" w:hAnsi="宋体" w:cs="宋体"/>
                <w:color w:val="auto"/>
              </w:rPr>
            </w:pPr>
            <w:r>
              <w:rPr>
                <w:rFonts w:hint="eastAsia" w:ascii="宋体" w:hAnsi="宋体" w:cs="宋体"/>
                <w:color w:val="auto"/>
              </w:rPr>
              <w:t>用于眼科各项检查报告常用书写内容的模板建立，检查医生在出具相应检查项目的报告时可一键引入模板内容，并可对引入内容进行修改</w:t>
            </w:r>
          </w:p>
        </w:tc>
      </w:tr>
      <w:tr w14:paraId="3CE30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73777148">
            <w:pPr>
              <w:jc w:val="center"/>
              <w:rPr>
                <w:rFonts w:hint="eastAsia" w:ascii="宋体" w:hAnsi="宋体" w:cs="宋体"/>
                <w:color w:val="auto"/>
              </w:rPr>
            </w:pPr>
          </w:p>
        </w:tc>
        <w:tc>
          <w:tcPr>
            <w:tcW w:w="1180" w:type="dxa"/>
            <w:vMerge w:val="continue"/>
            <w:vAlign w:val="center"/>
          </w:tcPr>
          <w:p w14:paraId="4841C4C7">
            <w:pPr>
              <w:rPr>
                <w:rFonts w:hint="eastAsia" w:ascii="宋体" w:hAnsi="宋体" w:cs="宋体"/>
                <w:color w:val="auto"/>
              </w:rPr>
            </w:pPr>
          </w:p>
        </w:tc>
        <w:tc>
          <w:tcPr>
            <w:tcW w:w="1252" w:type="dxa"/>
            <w:vAlign w:val="center"/>
          </w:tcPr>
          <w:p w14:paraId="1E26D63E">
            <w:pPr>
              <w:rPr>
                <w:rFonts w:hint="eastAsia" w:ascii="宋体" w:hAnsi="宋体" w:cs="宋体"/>
                <w:color w:val="auto"/>
              </w:rPr>
            </w:pPr>
            <w:r>
              <w:rPr>
                <w:rFonts w:hint="eastAsia" w:ascii="宋体" w:hAnsi="宋体" w:cs="宋体"/>
                <w:color w:val="auto"/>
              </w:rPr>
              <w:t>检查报告模板</w:t>
            </w:r>
          </w:p>
        </w:tc>
        <w:tc>
          <w:tcPr>
            <w:tcW w:w="5084" w:type="dxa"/>
            <w:vAlign w:val="center"/>
          </w:tcPr>
          <w:p w14:paraId="52F5DB18">
            <w:pPr>
              <w:rPr>
                <w:rFonts w:hint="eastAsia" w:ascii="宋体" w:hAnsi="宋体" w:cs="宋体"/>
                <w:color w:val="auto"/>
              </w:rPr>
            </w:pPr>
            <w:r>
              <w:rPr>
                <w:rFonts w:hint="eastAsia" w:ascii="宋体" w:hAnsi="宋体" w:cs="宋体"/>
                <w:color w:val="auto"/>
              </w:rPr>
              <w:t>可视化的眼科各检查项目的报告模板建立，系统管理人员通过模板编辑器新建、修改模板结构、布局、内容，可复制原有相似/同类别报告模板后进行新检查项目的报告模板配置，配置完成后可直接应用于新增的检查项目</w:t>
            </w:r>
          </w:p>
        </w:tc>
      </w:tr>
      <w:tr w14:paraId="0F7C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Align w:val="center"/>
          </w:tcPr>
          <w:p w14:paraId="6CB6D17F">
            <w:pPr>
              <w:jc w:val="center"/>
              <w:rPr>
                <w:rFonts w:hint="eastAsia" w:ascii="宋体" w:hAnsi="宋体" w:cs="宋体"/>
                <w:color w:val="auto"/>
              </w:rPr>
            </w:pPr>
            <w:r>
              <w:rPr>
                <w:rFonts w:hint="eastAsia" w:ascii="宋体" w:hAnsi="宋体" w:cs="宋体"/>
                <w:color w:val="auto"/>
              </w:rPr>
              <w:t>5</w:t>
            </w:r>
          </w:p>
        </w:tc>
        <w:tc>
          <w:tcPr>
            <w:tcW w:w="1180" w:type="dxa"/>
            <w:vAlign w:val="center"/>
          </w:tcPr>
          <w:p w14:paraId="3C8FEBC0">
            <w:pPr>
              <w:rPr>
                <w:rFonts w:hint="eastAsia" w:ascii="宋体" w:hAnsi="宋体" w:cs="宋体"/>
                <w:color w:val="auto"/>
              </w:rPr>
            </w:pPr>
            <w:r>
              <w:rPr>
                <w:rFonts w:hint="eastAsia" w:ascii="宋体" w:hAnsi="宋体" w:cs="宋体"/>
                <w:color w:val="auto"/>
              </w:rPr>
              <w:t>统计报表</w:t>
            </w:r>
          </w:p>
        </w:tc>
        <w:tc>
          <w:tcPr>
            <w:tcW w:w="1252" w:type="dxa"/>
            <w:vAlign w:val="center"/>
          </w:tcPr>
          <w:p w14:paraId="7853ECE7">
            <w:pPr>
              <w:rPr>
                <w:rFonts w:hint="eastAsia" w:ascii="宋体" w:hAnsi="宋体" w:cs="宋体"/>
                <w:color w:val="auto"/>
              </w:rPr>
            </w:pPr>
            <w:r>
              <w:rPr>
                <w:rFonts w:hint="eastAsia" w:ascii="宋体" w:hAnsi="宋体" w:cs="宋体"/>
                <w:color w:val="auto"/>
              </w:rPr>
              <w:t>检查医生工作量统计</w:t>
            </w:r>
          </w:p>
        </w:tc>
        <w:tc>
          <w:tcPr>
            <w:tcW w:w="5084" w:type="dxa"/>
            <w:vAlign w:val="center"/>
          </w:tcPr>
          <w:p w14:paraId="46B4570C">
            <w:pPr>
              <w:rPr>
                <w:rFonts w:hint="eastAsia" w:ascii="宋体" w:hAnsi="宋体" w:cs="宋体"/>
                <w:color w:val="auto"/>
              </w:rPr>
            </w:pPr>
            <w:r>
              <w:rPr>
                <w:rFonts w:hint="eastAsia" w:ascii="宋体" w:hAnsi="宋体" w:cs="宋体"/>
                <w:color w:val="auto"/>
              </w:rPr>
              <w:t>默认图形化显示检查医生当日和一周的各项工作数据。提供高级查询，可根据时间段、检查医生、检查项目进行数据统计，并生成报表支持导出EXCEL</w:t>
            </w:r>
          </w:p>
        </w:tc>
      </w:tr>
      <w:tr w14:paraId="7D3D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restart"/>
            <w:vAlign w:val="center"/>
          </w:tcPr>
          <w:p w14:paraId="2ED7FC70">
            <w:pPr>
              <w:jc w:val="center"/>
              <w:rPr>
                <w:rFonts w:hint="eastAsia" w:ascii="宋体" w:hAnsi="宋体" w:cs="宋体"/>
                <w:color w:val="auto"/>
              </w:rPr>
            </w:pPr>
            <w:r>
              <w:rPr>
                <w:rFonts w:hint="eastAsia" w:ascii="宋体" w:hAnsi="宋体" w:cs="宋体"/>
                <w:color w:val="auto"/>
              </w:rPr>
              <w:t>6</w:t>
            </w:r>
          </w:p>
        </w:tc>
        <w:tc>
          <w:tcPr>
            <w:tcW w:w="1180" w:type="dxa"/>
            <w:vMerge w:val="restart"/>
            <w:vAlign w:val="center"/>
          </w:tcPr>
          <w:p w14:paraId="2EFC31AD">
            <w:pPr>
              <w:rPr>
                <w:rFonts w:hint="eastAsia" w:ascii="宋体" w:hAnsi="宋体" w:cs="宋体"/>
                <w:color w:val="auto"/>
              </w:rPr>
            </w:pPr>
            <w:r>
              <w:rPr>
                <w:rFonts w:hint="eastAsia" w:ascii="宋体" w:hAnsi="宋体" w:cs="宋体"/>
                <w:color w:val="auto"/>
              </w:rPr>
              <w:t>系统管理</w:t>
            </w:r>
          </w:p>
        </w:tc>
        <w:tc>
          <w:tcPr>
            <w:tcW w:w="1252" w:type="dxa"/>
            <w:vAlign w:val="center"/>
          </w:tcPr>
          <w:p w14:paraId="1C0A7D49">
            <w:pPr>
              <w:rPr>
                <w:rFonts w:hint="eastAsia" w:ascii="宋体" w:hAnsi="宋体" w:cs="宋体"/>
                <w:color w:val="auto"/>
              </w:rPr>
            </w:pPr>
            <w:r>
              <w:rPr>
                <w:rFonts w:hint="eastAsia" w:ascii="宋体" w:hAnsi="宋体" w:cs="宋体"/>
                <w:color w:val="auto"/>
              </w:rPr>
              <w:t>用户管理</w:t>
            </w:r>
          </w:p>
        </w:tc>
        <w:tc>
          <w:tcPr>
            <w:tcW w:w="5084" w:type="dxa"/>
            <w:vAlign w:val="center"/>
          </w:tcPr>
          <w:p w14:paraId="59751F47">
            <w:pPr>
              <w:rPr>
                <w:rFonts w:hint="eastAsia" w:ascii="宋体" w:hAnsi="宋体" w:cs="宋体"/>
                <w:color w:val="auto"/>
              </w:rPr>
            </w:pPr>
            <w:r>
              <w:rPr>
                <w:rFonts w:hint="eastAsia" w:ascii="宋体" w:hAnsi="宋体" w:cs="宋体"/>
                <w:color w:val="auto"/>
              </w:rPr>
              <w:t>对所有使用系统的登陆用户名统一管理，实现用户名信息查询、新增、修改、删除、修改密码、角色分配、用户检查项目配置、启用/禁用用户等功能</w:t>
            </w:r>
          </w:p>
        </w:tc>
      </w:tr>
      <w:tr w14:paraId="4A5E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45B1F169">
            <w:pPr>
              <w:jc w:val="center"/>
              <w:rPr>
                <w:rFonts w:hint="eastAsia" w:ascii="宋体" w:hAnsi="宋体" w:cs="宋体"/>
                <w:color w:val="auto"/>
              </w:rPr>
            </w:pPr>
          </w:p>
        </w:tc>
        <w:tc>
          <w:tcPr>
            <w:tcW w:w="1180" w:type="dxa"/>
            <w:vMerge w:val="continue"/>
            <w:vAlign w:val="center"/>
          </w:tcPr>
          <w:p w14:paraId="56872621">
            <w:pPr>
              <w:rPr>
                <w:rFonts w:hint="eastAsia" w:ascii="宋体" w:hAnsi="宋体" w:cs="宋体"/>
                <w:color w:val="auto"/>
              </w:rPr>
            </w:pPr>
          </w:p>
        </w:tc>
        <w:tc>
          <w:tcPr>
            <w:tcW w:w="1252" w:type="dxa"/>
            <w:vAlign w:val="center"/>
          </w:tcPr>
          <w:p w14:paraId="19CEA9CA">
            <w:pPr>
              <w:rPr>
                <w:rFonts w:hint="eastAsia" w:ascii="宋体" w:hAnsi="宋体" w:cs="宋体"/>
                <w:color w:val="auto"/>
              </w:rPr>
            </w:pPr>
            <w:r>
              <w:rPr>
                <w:rFonts w:hint="eastAsia" w:ascii="宋体" w:hAnsi="宋体" w:cs="宋体"/>
                <w:color w:val="auto"/>
              </w:rPr>
              <w:t>角色管理</w:t>
            </w:r>
          </w:p>
        </w:tc>
        <w:tc>
          <w:tcPr>
            <w:tcW w:w="5084" w:type="dxa"/>
            <w:vAlign w:val="center"/>
          </w:tcPr>
          <w:p w14:paraId="28547025">
            <w:pPr>
              <w:rPr>
                <w:rFonts w:hint="eastAsia" w:ascii="宋体" w:hAnsi="宋体" w:cs="宋体"/>
                <w:color w:val="auto"/>
              </w:rPr>
            </w:pPr>
            <w:r>
              <w:rPr>
                <w:rFonts w:hint="eastAsia" w:ascii="宋体" w:hAnsi="宋体" w:cs="宋体"/>
                <w:color w:val="auto"/>
              </w:rPr>
              <w:t>按照系统的功能模块配置不同的角色权限，实现角色名称的新增、修改、删除功能，对角色下的一级/二级功能模块进行细化配置</w:t>
            </w:r>
          </w:p>
        </w:tc>
      </w:tr>
      <w:tr w14:paraId="0B66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379E97EE">
            <w:pPr>
              <w:jc w:val="center"/>
              <w:rPr>
                <w:rFonts w:hint="eastAsia" w:ascii="宋体" w:hAnsi="宋体" w:cs="宋体"/>
                <w:color w:val="auto"/>
              </w:rPr>
            </w:pPr>
          </w:p>
        </w:tc>
        <w:tc>
          <w:tcPr>
            <w:tcW w:w="1180" w:type="dxa"/>
            <w:vMerge w:val="continue"/>
            <w:vAlign w:val="center"/>
          </w:tcPr>
          <w:p w14:paraId="5A37625F">
            <w:pPr>
              <w:rPr>
                <w:rFonts w:hint="eastAsia" w:ascii="宋体" w:hAnsi="宋体" w:cs="宋体"/>
                <w:color w:val="auto"/>
              </w:rPr>
            </w:pPr>
          </w:p>
        </w:tc>
        <w:tc>
          <w:tcPr>
            <w:tcW w:w="1252" w:type="dxa"/>
            <w:vAlign w:val="center"/>
          </w:tcPr>
          <w:p w14:paraId="19C5B958">
            <w:pPr>
              <w:rPr>
                <w:rFonts w:hint="eastAsia" w:ascii="宋体" w:hAnsi="宋体" w:cs="宋体"/>
                <w:color w:val="auto"/>
              </w:rPr>
            </w:pPr>
            <w:r>
              <w:rPr>
                <w:rFonts w:hint="eastAsia" w:ascii="宋体" w:hAnsi="宋体" w:cs="宋体"/>
                <w:color w:val="auto"/>
              </w:rPr>
              <w:t>科室管理</w:t>
            </w:r>
          </w:p>
        </w:tc>
        <w:tc>
          <w:tcPr>
            <w:tcW w:w="5084" w:type="dxa"/>
            <w:vAlign w:val="center"/>
          </w:tcPr>
          <w:p w14:paraId="51642ED9">
            <w:pPr>
              <w:rPr>
                <w:rFonts w:hint="eastAsia" w:ascii="宋体" w:hAnsi="宋体" w:cs="宋体"/>
                <w:color w:val="auto"/>
              </w:rPr>
            </w:pPr>
            <w:r>
              <w:rPr>
                <w:rFonts w:hint="eastAsia" w:ascii="宋体" w:hAnsi="宋体" w:cs="宋体"/>
                <w:color w:val="auto"/>
              </w:rPr>
              <w:t>对医院各个业务科室及眼科部门名称、代码、位置信息等进行配维护，包含新增、修改、删除、查询功能</w:t>
            </w:r>
          </w:p>
        </w:tc>
      </w:tr>
      <w:tr w14:paraId="3EF23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66C395B0">
            <w:pPr>
              <w:jc w:val="center"/>
              <w:rPr>
                <w:rFonts w:hint="eastAsia" w:ascii="宋体" w:hAnsi="宋体" w:cs="宋体"/>
                <w:color w:val="auto"/>
              </w:rPr>
            </w:pPr>
          </w:p>
        </w:tc>
        <w:tc>
          <w:tcPr>
            <w:tcW w:w="1180" w:type="dxa"/>
            <w:vMerge w:val="continue"/>
            <w:vAlign w:val="center"/>
          </w:tcPr>
          <w:p w14:paraId="78527273">
            <w:pPr>
              <w:rPr>
                <w:rFonts w:hint="eastAsia" w:ascii="宋体" w:hAnsi="宋体" w:cs="宋体"/>
                <w:color w:val="auto"/>
              </w:rPr>
            </w:pPr>
          </w:p>
        </w:tc>
        <w:tc>
          <w:tcPr>
            <w:tcW w:w="1252" w:type="dxa"/>
            <w:vAlign w:val="center"/>
          </w:tcPr>
          <w:p w14:paraId="0DFDAD1A">
            <w:pPr>
              <w:rPr>
                <w:rFonts w:hint="eastAsia" w:ascii="宋体" w:hAnsi="宋体" w:cs="宋体"/>
                <w:color w:val="auto"/>
              </w:rPr>
            </w:pPr>
            <w:r>
              <w:rPr>
                <w:rFonts w:hint="eastAsia" w:ascii="宋体" w:hAnsi="宋体" w:cs="宋体"/>
                <w:color w:val="auto"/>
              </w:rPr>
              <w:t>员工管理</w:t>
            </w:r>
          </w:p>
        </w:tc>
        <w:tc>
          <w:tcPr>
            <w:tcW w:w="5084" w:type="dxa"/>
            <w:vAlign w:val="center"/>
          </w:tcPr>
          <w:p w14:paraId="57E673B8">
            <w:pPr>
              <w:rPr>
                <w:rFonts w:hint="eastAsia" w:ascii="宋体" w:hAnsi="宋体" w:cs="宋体"/>
                <w:color w:val="auto"/>
              </w:rPr>
            </w:pPr>
            <w:r>
              <w:rPr>
                <w:rFonts w:hint="eastAsia" w:ascii="宋体" w:hAnsi="宋体" w:cs="宋体"/>
                <w:color w:val="auto"/>
              </w:rPr>
              <w:t>对科室所有员进行管理，实现个人基本信息的查询、新增、维护，设置员工在/离职状态，可统计个人工作绩效数据并导出</w:t>
            </w:r>
          </w:p>
        </w:tc>
      </w:tr>
      <w:tr w14:paraId="7877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6D8D288B">
            <w:pPr>
              <w:jc w:val="center"/>
              <w:rPr>
                <w:rFonts w:hint="eastAsia" w:ascii="宋体" w:hAnsi="宋体" w:cs="宋体"/>
                <w:color w:val="auto"/>
              </w:rPr>
            </w:pPr>
          </w:p>
        </w:tc>
        <w:tc>
          <w:tcPr>
            <w:tcW w:w="1180" w:type="dxa"/>
            <w:vMerge w:val="continue"/>
            <w:vAlign w:val="center"/>
          </w:tcPr>
          <w:p w14:paraId="5B595A13">
            <w:pPr>
              <w:rPr>
                <w:rFonts w:hint="eastAsia" w:ascii="宋体" w:hAnsi="宋体" w:cs="宋体"/>
                <w:color w:val="auto"/>
              </w:rPr>
            </w:pPr>
          </w:p>
        </w:tc>
        <w:tc>
          <w:tcPr>
            <w:tcW w:w="1252" w:type="dxa"/>
            <w:vAlign w:val="center"/>
          </w:tcPr>
          <w:p w14:paraId="0DE1753B">
            <w:pPr>
              <w:rPr>
                <w:rFonts w:hint="eastAsia" w:ascii="宋体" w:hAnsi="宋体" w:cs="宋体"/>
                <w:color w:val="auto"/>
              </w:rPr>
            </w:pPr>
            <w:r>
              <w:rPr>
                <w:rFonts w:hint="eastAsia" w:ascii="宋体" w:hAnsi="宋体" w:cs="宋体"/>
                <w:color w:val="auto"/>
              </w:rPr>
              <w:t>通知管理</w:t>
            </w:r>
          </w:p>
        </w:tc>
        <w:tc>
          <w:tcPr>
            <w:tcW w:w="5084" w:type="dxa"/>
            <w:vAlign w:val="center"/>
          </w:tcPr>
          <w:p w14:paraId="1D5B023F">
            <w:pPr>
              <w:rPr>
                <w:rFonts w:hint="eastAsia" w:ascii="宋体" w:hAnsi="宋体" w:cs="宋体"/>
                <w:color w:val="auto"/>
              </w:rPr>
            </w:pPr>
            <w:r>
              <w:rPr>
                <w:rFonts w:hint="eastAsia" w:ascii="宋体" w:hAnsi="宋体" w:cs="宋体"/>
                <w:color w:val="auto"/>
              </w:rPr>
              <w:t>实现科室公告、通知信息的新增、发布、修改、删除等功能</w:t>
            </w:r>
          </w:p>
          <w:p w14:paraId="4771EC00">
            <w:pPr>
              <w:rPr>
                <w:rFonts w:hint="eastAsia" w:ascii="宋体" w:hAnsi="宋体" w:cs="宋体"/>
                <w:color w:val="auto"/>
              </w:rPr>
            </w:pPr>
            <w:r>
              <w:rPr>
                <w:rFonts w:hint="eastAsia" w:ascii="宋体" w:hAnsi="宋体" w:cs="宋体"/>
                <w:color w:val="auto"/>
              </w:rPr>
              <w:t>支持通知内上传附件，如word、excel、PDF文件等</w:t>
            </w:r>
          </w:p>
        </w:tc>
      </w:tr>
      <w:tr w14:paraId="50FB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1DD914FF">
            <w:pPr>
              <w:jc w:val="center"/>
              <w:rPr>
                <w:rFonts w:hint="eastAsia" w:ascii="宋体" w:hAnsi="宋体" w:cs="宋体"/>
                <w:color w:val="auto"/>
              </w:rPr>
            </w:pPr>
          </w:p>
        </w:tc>
        <w:tc>
          <w:tcPr>
            <w:tcW w:w="1180" w:type="dxa"/>
            <w:vMerge w:val="continue"/>
            <w:vAlign w:val="center"/>
          </w:tcPr>
          <w:p w14:paraId="2C074066">
            <w:pPr>
              <w:rPr>
                <w:rFonts w:hint="eastAsia" w:ascii="宋体" w:hAnsi="宋体" w:cs="宋体"/>
                <w:color w:val="auto"/>
              </w:rPr>
            </w:pPr>
          </w:p>
        </w:tc>
        <w:tc>
          <w:tcPr>
            <w:tcW w:w="1252" w:type="dxa"/>
            <w:vAlign w:val="center"/>
          </w:tcPr>
          <w:p w14:paraId="2D3E40A7">
            <w:pPr>
              <w:rPr>
                <w:rFonts w:hint="eastAsia" w:ascii="宋体" w:hAnsi="宋体" w:cs="宋体"/>
                <w:color w:val="auto"/>
              </w:rPr>
            </w:pPr>
            <w:r>
              <w:rPr>
                <w:rFonts w:hint="eastAsia" w:ascii="宋体" w:hAnsi="宋体" w:cs="宋体"/>
                <w:color w:val="auto"/>
              </w:rPr>
              <w:t>文章管理</w:t>
            </w:r>
          </w:p>
        </w:tc>
        <w:tc>
          <w:tcPr>
            <w:tcW w:w="5084" w:type="dxa"/>
            <w:vAlign w:val="center"/>
          </w:tcPr>
          <w:p w14:paraId="484317F7">
            <w:pPr>
              <w:rPr>
                <w:rFonts w:hint="eastAsia" w:ascii="宋体" w:hAnsi="宋体" w:cs="宋体"/>
                <w:color w:val="auto"/>
              </w:rPr>
            </w:pPr>
            <w:r>
              <w:rPr>
                <w:rFonts w:hint="eastAsia" w:ascii="宋体" w:hAnsi="宋体" w:cs="宋体"/>
                <w:color w:val="auto"/>
              </w:rPr>
              <w:t>对科室人员的文章发表情况进行管理，实现已发表文章的分类录入、附件上传，分类查询、修改、删除。附件下载、信息导出等功能</w:t>
            </w:r>
          </w:p>
        </w:tc>
      </w:tr>
      <w:tr w14:paraId="247E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512BE568">
            <w:pPr>
              <w:jc w:val="center"/>
              <w:rPr>
                <w:rFonts w:hint="eastAsia" w:ascii="宋体" w:hAnsi="宋体" w:cs="宋体"/>
                <w:color w:val="auto"/>
              </w:rPr>
            </w:pPr>
          </w:p>
        </w:tc>
        <w:tc>
          <w:tcPr>
            <w:tcW w:w="1180" w:type="dxa"/>
            <w:vMerge w:val="continue"/>
            <w:vAlign w:val="center"/>
          </w:tcPr>
          <w:p w14:paraId="1C0CB707">
            <w:pPr>
              <w:rPr>
                <w:rFonts w:hint="eastAsia" w:ascii="宋体" w:hAnsi="宋体" w:cs="宋体"/>
                <w:color w:val="auto"/>
              </w:rPr>
            </w:pPr>
          </w:p>
        </w:tc>
        <w:tc>
          <w:tcPr>
            <w:tcW w:w="1252" w:type="dxa"/>
            <w:vAlign w:val="center"/>
          </w:tcPr>
          <w:p w14:paraId="2ED63EC4">
            <w:pPr>
              <w:rPr>
                <w:rFonts w:hint="eastAsia" w:ascii="宋体" w:hAnsi="宋体" w:cs="宋体"/>
                <w:color w:val="auto"/>
              </w:rPr>
            </w:pPr>
            <w:r>
              <w:rPr>
                <w:rFonts w:hint="eastAsia" w:ascii="宋体" w:hAnsi="宋体" w:cs="宋体"/>
                <w:color w:val="auto"/>
              </w:rPr>
              <w:t>检查项目管理</w:t>
            </w:r>
          </w:p>
        </w:tc>
        <w:tc>
          <w:tcPr>
            <w:tcW w:w="5084" w:type="dxa"/>
            <w:vAlign w:val="center"/>
          </w:tcPr>
          <w:p w14:paraId="6C32BA05">
            <w:pPr>
              <w:rPr>
                <w:rFonts w:hint="eastAsia" w:ascii="宋体" w:hAnsi="宋体" w:cs="宋体"/>
                <w:color w:val="auto"/>
              </w:rPr>
            </w:pPr>
            <w:r>
              <w:rPr>
                <w:rFonts w:hint="eastAsia" w:ascii="宋体" w:hAnsi="宋体" w:cs="宋体"/>
                <w:color w:val="auto"/>
              </w:rPr>
              <w:t>用于配置管理眼科所有开展的检查项目类别及名称</w:t>
            </w:r>
          </w:p>
          <w:p w14:paraId="71174355">
            <w:pPr>
              <w:rPr>
                <w:rFonts w:hint="eastAsia" w:ascii="宋体" w:hAnsi="宋体" w:cs="宋体"/>
                <w:color w:val="auto"/>
              </w:rPr>
            </w:pPr>
            <w:r>
              <w:rPr>
                <w:rFonts w:hint="eastAsia" w:ascii="宋体" w:hAnsi="宋体" w:cs="宋体"/>
                <w:color w:val="auto"/>
              </w:rPr>
              <w:t>支持同步HIS上的检查项目并自动更新、删除、添加检查项目</w:t>
            </w:r>
          </w:p>
        </w:tc>
      </w:tr>
      <w:tr w14:paraId="7199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3586712D">
            <w:pPr>
              <w:jc w:val="center"/>
              <w:rPr>
                <w:rFonts w:hint="eastAsia" w:ascii="宋体" w:hAnsi="宋体" w:cs="宋体"/>
                <w:color w:val="auto"/>
              </w:rPr>
            </w:pPr>
          </w:p>
        </w:tc>
        <w:tc>
          <w:tcPr>
            <w:tcW w:w="1180" w:type="dxa"/>
            <w:vMerge w:val="continue"/>
            <w:vAlign w:val="center"/>
          </w:tcPr>
          <w:p w14:paraId="01B09FB9">
            <w:pPr>
              <w:rPr>
                <w:rFonts w:hint="eastAsia" w:ascii="宋体" w:hAnsi="宋体" w:cs="宋体"/>
                <w:color w:val="auto"/>
              </w:rPr>
            </w:pPr>
          </w:p>
        </w:tc>
        <w:tc>
          <w:tcPr>
            <w:tcW w:w="1252" w:type="dxa"/>
            <w:vAlign w:val="center"/>
          </w:tcPr>
          <w:p w14:paraId="6FEC1D8C">
            <w:pPr>
              <w:rPr>
                <w:rFonts w:hint="eastAsia" w:ascii="宋体" w:hAnsi="宋体" w:cs="宋体"/>
                <w:color w:val="auto"/>
              </w:rPr>
            </w:pPr>
            <w:r>
              <w:rPr>
                <w:rFonts w:hint="eastAsia" w:ascii="宋体" w:hAnsi="宋体" w:cs="宋体"/>
                <w:color w:val="auto"/>
              </w:rPr>
              <w:t>检查设备管理</w:t>
            </w:r>
          </w:p>
        </w:tc>
        <w:tc>
          <w:tcPr>
            <w:tcW w:w="5084" w:type="dxa"/>
            <w:vAlign w:val="center"/>
          </w:tcPr>
          <w:p w14:paraId="50367D8B">
            <w:pPr>
              <w:rPr>
                <w:rFonts w:hint="eastAsia" w:ascii="宋体" w:hAnsi="宋体" w:cs="宋体"/>
                <w:color w:val="auto"/>
              </w:rPr>
            </w:pPr>
            <w:r>
              <w:rPr>
                <w:rFonts w:hint="eastAsia" w:ascii="宋体" w:hAnsi="宋体" w:cs="宋体"/>
                <w:color w:val="auto"/>
              </w:rPr>
              <w:t>用于对眼科所有检查设备及开展的检查项目进行详细配置，包括连接状态监测</w:t>
            </w:r>
          </w:p>
          <w:p w14:paraId="557B2DD0">
            <w:pPr>
              <w:rPr>
                <w:rFonts w:hint="eastAsia" w:ascii="宋体" w:hAnsi="宋体" w:cs="宋体"/>
                <w:color w:val="auto"/>
              </w:rPr>
            </w:pPr>
            <w:r>
              <w:rPr>
                <w:rFonts w:hint="eastAsia" w:ascii="宋体" w:hAnsi="宋体" w:cs="宋体"/>
                <w:color w:val="auto"/>
              </w:rPr>
              <w:t>可为检查设备配置一个或者多个检查项目及对应的检查报告模板等</w:t>
            </w:r>
          </w:p>
        </w:tc>
      </w:tr>
      <w:tr w14:paraId="473C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Merge w:val="continue"/>
            <w:vAlign w:val="center"/>
          </w:tcPr>
          <w:p w14:paraId="25627499">
            <w:pPr>
              <w:jc w:val="center"/>
              <w:rPr>
                <w:rFonts w:hint="eastAsia" w:ascii="宋体" w:hAnsi="宋体" w:cs="宋体"/>
                <w:color w:val="auto"/>
              </w:rPr>
            </w:pPr>
          </w:p>
        </w:tc>
        <w:tc>
          <w:tcPr>
            <w:tcW w:w="1180" w:type="dxa"/>
            <w:vMerge w:val="continue"/>
            <w:vAlign w:val="center"/>
          </w:tcPr>
          <w:p w14:paraId="4D1FDD2F">
            <w:pPr>
              <w:rPr>
                <w:rFonts w:hint="eastAsia" w:ascii="宋体" w:hAnsi="宋体" w:cs="宋体"/>
                <w:color w:val="auto"/>
              </w:rPr>
            </w:pPr>
          </w:p>
        </w:tc>
        <w:tc>
          <w:tcPr>
            <w:tcW w:w="1252" w:type="dxa"/>
            <w:vAlign w:val="center"/>
          </w:tcPr>
          <w:p w14:paraId="5A75387A">
            <w:pPr>
              <w:rPr>
                <w:rFonts w:hint="eastAsia" w:ascii="宋体" w:hAnsi="宋体" w:cs="宋体"/>
                <w:color w:val="auto"/>
              </w:rPr>
            </w:pPr>
            <w:r>
              <w:rPr>
                <w:rFonts w:hint="eastAsia" w:ascii="宋体" w:hAnsi="宋体" w:cs="宋体"/>
                <w:color w:val="auto"/>
              </w:rPr>
              <w:t>患者信息管理</w:t>
            </w:r>
          </w:p>
        </w:tc>
        <w:tc>
          <w:tcPr>
            <w:tcW w:w="5084" w:type="dxa"/>
            <w:vAlign w:val="center"/>
          </w:tcPr>
          <w:p w14:paraId="5E048971">
            <w:pPr>
              <w:rPr>
                <w:rFonts w:hint="eastAsia" w:ascii="宋体" w:hAnsi="宋体" w:cs="宋体"/>
                <w:color w:val="auto"/>
              </w:rPr>
            </w:pPr>
            <w:r>
              <w:rPr>
                <w:rFonts w:hint="eastAsia" w:ascii="宋体" w:hAnsi="宋体" w:cs="宋体"/>
                <w:color w:val="auto"/>
              </w:rPr>
              <w:t>列表显示所有已开单眼科检查的患者基本信息，可通过患者ID号、姓名、性别、手机号等进行简单查询</w:t>
            </w:r>
          </w:p>
          <w:p w14:paraId="6F19AE2E">
            <w:pPr>
              <w:rPr>
                <w:rFonts w:hint="eastAsia" w:ascii="宋体" w:hAnsi="宋体" w:cs="宋体"/>
                <w:color w:val="auto"/>
              </w:rPr>
            </w:pPr>
            <w:r>
              <w:rPr>
                <w:rFonts w:hint="eastAsia" w:ascii="宋体" w:hAnsi="宋体" w:cs="宋体"/>
                <w:color w:val="auto"/>
              </w:rPr>
              <w:t>可对单一患者基本信息里的错误内容进行手动修改，或输入患者ID，点击同步his患者，自动完成患者信息同步更新</w:t>
            </w:r>
          </w:p>
        </w:tc>
      </w:tr>
      <w:tr w14:paraId="38A6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Align w:val="center"/>
          </w:tcPr>
          <w:p w14:paraId="684E8FD7">
            <w:pPr>
              <w:jc w:val="center"/>
              <w:rPr>
                <w:rFonts w:hint="eastAsia" w:ascii="宋体" w:hAnsi="宋体" w:cs="宋体"/>
                <w:color w:val="auto"/>
              </w:rPr>
            </w:pPr>
            <w:r>
              <w:rPr>
                <w:rFonts w:hint="eastAsia" w:ascii="宋体" w:hAnsi="宋体" w:cs="宋体"/>
                <w:color w:val="auto"/>
              </w:rPr>
              <w:t>8</w:t>
            </w:r>
          </w:p>
        </w:tc>
        <w:tc>
          <w:tcPr>
            <w:tcW w:w="2432" w:type="dxa"/>
            <w:gridSpan w:val="2"/>
            <w:vAlign w:val="center"/>
          </w:tcPr>
          <w:p w14:paraId="28F10851">
            <w:pPr>
              <w:rPr>
                <w:rFonts w:hint="eastAsia" w:ascii="宋体" w:hAnsi="宋体" w:cs="宋体"/>
                <w:color w:val="auto"/>
              </w:rPr>
            </w:pPr>
            <w:r>
              <w:rPr>
                <w:rFonts w:hint="eastAsia" w:ascii="宋体" w:hAnsi="宋体" w:cs="宋体"/>
                <w:color w:val="auto"/>
              </w:rPr>
              <w:t>设备对接</w:t>
            </w:r>
          </w:p>
        </w:tc>
        <w:tc>
          <w:tcPr>
            <w:tcW w:w="5084" w:type="dxa"/>
            <w:vAlign w:val="center"/>
          </w:tcPr>
          <w:p w14:paraId="41D8E3C4">
            <w:pPr>
              <w:rPr>
                <w:rFonts w:hint="eastAsia" w:ascii="宋体" w:hAnsi="宋体" w:cs="宋体"/>
                <w:color w:val="auto"/>
              </w:rPr>
            </w:pPr>
            <w:r>
              <w:rPr>
                <w:rFonts w:hint="eastAsia" w:ascii="宋体" w:hAnsi="宋体" w:cs="宋体"/>
                <w:color w:val="auto"/>
              </w:rPr>
              <w:t>系统支持目前眼科检查设备对接</w:t>
            </w:r>
          </w:p>
        </w:tc>
      </w:tr>
      <w:tr w14:paraId="0BC0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6" w:type="dxa"/>
            <w:vAlign w:val="center"/>
          </w:tcPr>
          <w:p w14:paraId="6E9F7D73">
            <w:pPr>
              <w:jc w:val="center"/>
              <w:rPr>
                <w:rFonts w:hint="eastAsia" w:ascii="宋体" w:hAnsi="宋体" w:cs="宋体"/>
                <w:color w:val="auto"/>
              </w:rPr>
            </w:pPr>
            <w:r>
              <w:rPr>
                <w:rFonts w:hint="eastAsia" w:ascii="宋体" w:hAnsi="宋体" w:cs="宋体"/>
                <w:color w:val="auto"/>
              </w:rPr>
              <w:t>9</w:t>
            </w:r>
          </w:p>
        </w:tc>
        <w:tc>
          <w:tcPr>
            <w:tcW w:w="2432" w:type="dxa"/>
            <w:gridSpan w:val="2"/>
            <w:vAlign w:val="center"/>
          </w:tcPr>
          <w:p w14:paraId="779C91DF">
            <w:pPr>
              <w:rPr>
                <w:rFonts w:hint="eastAsia" w:ascii="宋体" w:hAnsi="宋体" w:cs="宋体"/>
                <w:color w:val="auto"/>
              </w:rPr>
            </w:pPr>
            <w:r>
              <w:rPr>
                <w:rFonts w:hint="eastAsia" w:ascii="宋体" w:hAnsi="宋体" w:cs="宋体"/>
                <w:color w:val="auto"/>
              </w:rPr>
              <w:t>开放接口</w:t>
            </w:r>
          </w:p>
        </w:tc>
        <w:tc>
          <w:tcPr>
            <w:tcW w:w="5084" w:type="dxa"/>
            <w:vAlign w:val="center"/>
          </w:tcPr>
          <w:p w14:paraId="4C9503D5">
            <w:pPr>
              <w:rPr>
                <w:rFonts w:hint="eastAsia" w:ascii="宋体" w:hAnsi="宋体" w:cs="宋体"/>
                <w:color w:val="auto"/>
              </w:rPr>
            </w:pPr>
            <w:r>
              <w:rPr>
                <w:rFonts w:hint="eastAsia" w:ascii="宋体" w:hAnsi="宋体" w:cs="宋体"/>
                <w:color w:val="auto"/>
              </w:rPr>
              <w:t>提供标准接口，便于其他系统调用眼科检查系统采集的影像和报告数据</w:t>
            </w:r>
          </w:p>
        </w:tc>
      </w:tr>
    </w:tbl>
    <w:p w14:paraId="030088AC">
      <w:pPr>
        <w:pStyle w:val="14"/>
        <w:ind w:firstLine="360"/>
        <w:rPr>
          <w:rFonts w:hint="eastAsia" w:ascii="仿宋_GB2312" w:hAnsi="仿宋_GB2312"/>
          <w:color w:val="auto"/>
        </w:rPr>
      </w:pPr>
    </w:p>
    <w:p w14:paraId="4687DF6A">
      <w:pPr>
        <w:pStyle w:val="48"/>
        <w:ind w:firstLine="260"/>
        <w:rPr>
          <w:rFonts w:hint="eastAsia"/>
          <w:color w:val="auto"/>
        </w:rPr>
      </w:pPr>
      <w:r>
        <w:rPr>
          <w:rFonts w:hint="eastAsia"/>
          <w:color w:val="auto"/>
        </w:rPr>
        <w:t>眼科影像调阅模块</w:t>
      </w:r>
    </w:p>
    <w:tbl>
      <w:tblPr>
        <w:tblStyle w:val="19"/>
        <w:tblW w:w="8325"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1748"/>
        <w:gridCol w:w="1625"/>
        <w:gridCol w:w="4534"/>
      </w:tblGrid>
      <w:tr w14:paraId="0802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18" w:type="dxa"/>
            <w:vMerge w:val="restart"/>
            <w:vAlign w:val="center"/>
          </w:tcPr>
          <w:p w14:paraId="6592B070">
            <w:pPr>
              <w:jc w:val="center"/>
              <w:rPr>
                <w:rFonts w:hint="eastAsia" w:ascii="宋体" w:hAnsi="宋体" w:cs="宋体"/>
                <w:color w:val="auto"/>
              </w:rPr>
            </w:pPr>
            <w:r>
              <w:rPr>
                <w:rFonts w:hint="eastAsia" w:ascii="宋体" w:hAnsi="宋体" w:cs="宋体"/>
                <w:color w:val="auto"/>
                <w:lang w:bidi="ne-NP"/>
              </w:rPr>
              <w:t>序号</w:t>
            </w:r>
          </w:p>
        </w:tc>
        <w:tc>
          <w:tcPr>
            <w:tcW w:w="3373" w:type="dxa"/>
            <w:gridSpan w:val="2"/>
            <w:vAlign w:val="center"/>
          </w:tcPr>
          <w:p w14:paraId="47879BBE">
            <w:pPr>
              <w:jc w:val="center"/>
              <w:rPr>
                <w:rFonts w:hint="eastAsia" w:ascii="宋体" w:hAnsi="宋体" w:cs="宋体"/>
                <w:color w:val="auto"/>
              </w:rPr>
            </w:pPr>
            <w:r>
              <w:rPr>
                <w:rFonts w:hint="eastAsia" w:ascii="宋体" w:hAnsi="宋体" w:cs="宋体"/>
                <w:color w:val="auto"/>
                <w:lang w:bidi="ne-NP"/>
              </w:rPr>
              <w:t>功能/性能</w:t>
            </w:r>
          </w:p>
        </w:tc>
        <w:tc>
          <w:tcPr>
            <w:tcW w:w="4534" w:type="dxa"/>
            <w:vMerge w:val="restart"/>
            <w:vAlign w:val="center"/>
          </w:tcPr>
          <w:p w14:paraId="386EA6CF">
            <w:pPr>
              <w:jc w:val="center"/>
              <w:rPr>
                <w:rFonts w:hint="eastAsia" w:ascii="宋体" w:hAnsi="宋体" w:cs="宋体"/>
                <w:color w:val="auto"/>
                <w:lang w:bidi="ne-NP"/>
              </w:rPr>
            </w:pPr>
            <w:r>
              <w:rPr>
                <w:rFonts w:hint="eastAsia" w:ascii="宋体" w:hAnsi="宋体" w:cs="宋体"/>
                <w:color w:val="auto"/>
                <w:lang w:bidi="ne-NP"/>
              </w:rPr>
              <w:t>具体要求</w:t>
            </w:r>
          </w:p>
        </w:tc>
      </w:tr>
      <w:tr w14:paraId="0151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18" w:type="dxa"/>
            <w:vMerge w:val="continue"/>
            <w:vAlign w:val="center"/>
          </w:tcPr>
          <w:p w14:paraId="553C192D">
            <w:pPr>
              <w:ind w:firstLine="360"/>
              <w:jc w:val="center"/>
              <w:rPr>
                <w:rFonts w:hint="eastAsia" w:ascii="宋体" w:hAnsi="宋体" w:cs="宋体"/>
                <w:color w:val="auto"/>
              </w:rPr>
            </w:pPr>
          </w:p>
        </w:tc>
        <w:tc>
          <w:tcPr>
            <w:tcW w:w="1748" w:type="dxa"/>
            <w:vAlign w:val="center"/>
          </w:tcPr>
          <w:p w14:paraId="7D9EBA4C">
            <w:pPr>
              <w:rPr>
                <w:rFonts w:hint="eastAsia" w:ascii="宋体" w:hAnsi="宋体" w:cs="宋体"/>
                <w:color w:val="auto"/>
              </w:rPr>
            </w:pPr>
            <w:r>
              <w:rPr>
                <w:rFonts w:hint="eastAsia" w:ascii="宋体" w:hAnsi="宋体" w:cs="宋体"/>
                <w:color w:val="auto"/>
              </w:rPr>
              <w:t>一级模块</w:t>
            </w:r>
          </w:p>
        </w:tc>
        <w:tc>
          <w:tcPr>
            <w:tcW w:w="1625" w:type="dxa"/>
            <w:vAlign w:val="center"/>
          </w:tcPr>
          <w:p w14:paraId="4D5DE57A">
            <w:pPr>
              <w:rPr>
                <w:rFonts w:hint="eastAsia" w:ascii="宋体" w:hAnsi="宋体" w:cs="宋体"/>
                <w:color w:val="auto"/>
              </w:rPr>
            </w:pPr>
            <w:r>
              <w:rPr>
                <w:rFonts w:hint="eastAsia" w:ascii="宋体" w:hAnsi="宋体" w:cs="宋体"/>
                <w:color w:val="auto"/>
              </w:rPr>
              <w:t>二级模块</w:t>
            </w:r>
          </w:p>
        </w:tc>
        <w:tc>
          <w:tcPr>
            <w:tcW w:w="4534" w:type="dxa"/>
            <w:vMerge w:val="continue"/>
            <w:vAlign w:val="center"/>
          </w:tcPr>
          <w:p w14:paraId="26395A81">
            <w:pPr>
              <w:ind w:firstLine="360"/>
              <w:rPr>
                <w:rFonts w:hint="eastAsia" w:ascii="宋体" w:hAnsi="宋体" w:cs="宋体"/>
                <w:color w:val="auto"/>
              </w:rPr>
            </w:pPr>
          </w:p>
        </w:tc>
      </w:tr>
      <w:tr w14:paraId="6151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restart"/>
            <w:vAlign w:val="center"/>
          </w:tcPr>
          <w:p w14:paraId="3AC7A65A">
            <w:pPr>
              <w:rPr>
                <w:rFonts w:hint="eastAsia" w:ascii="宋体" w:hAnsi="宋体" w:cs="宋体"/>
                <w:color w:val="auto"/>
              </w:rPr>
            </w:pPr>
            <w:r>
              <w:rPr>
                <w:rFonts w:hint="eastAsia" w:ascii="宋体" w:hAnsi="宋体" w:cs="宋体"/>
                <w:color w:val="auto"/>
              </w:rPr>
              <w:t>1</w:t>
            </w:r>
          </w:p>
        </w:tc>
        <w:tc>
          <w:tcPr>
            <w:tcW w:w="1748" w:type="dxa"/>
            <w:vMerge w:val="restart"/>
            <w:vAlign w:val="center"/>
          </w:tcPr>
          <w:p w14:paraId="18459747">
            <w:pPr>
              <w:rPr>
                <w:rFonts w:hint="eastAsia" w:ascii="宋体" w:hAnsi="宋体" w:cs="宋体"/>
                <w:color w:val="auto"/>
              </w:rPr>
            </w:pPr>
            <w:r>
              <w:rPr>
                <w:rFonts w:hint="eastAsia" w:ascii="宋体" w:hAnsi="宋体" w:cs="宋体"/>
                <w:color w:val="auto"/>
              </w:rPr>
              <w:t>患者列表</w:t>
            </w:r>
          </w:p>
        </w:tc>
        <w:tc>
          <w:tcPr>
            <w:tcW w:w="1625" w:type="dxa"/>
            <w:vAlign w:val="center"/>
          </w:tcPr>
          <w:p w14:paraId="40C92FCC">
            <w:pPr>
              <w:rPr>
                <w:rFonts w:hint="eastAsia" w:ascii="宋体" w:hAnsi="宋体" w:cs="宋体"/>
                <w:color w:val="auto"/>
              </w:rPr>
            </w:pPr>
            <w:r>
              <w:rPr>
                <w:rFonts w:hint="eastAsia" w:ascii="宋体" w:hAnsi="宋体" w:cs="宋体"/>
                <w:color w:val="auto"/>
              </w:rPr>
              <w:t>患者列表</w:t>
            </w:r>
          </w:p>
        </w:tc>
        <w:tc>
          <w:tcPr>
            <w:tcW w:w="4534" w:type="dxa"/>
            <w:vAlign w:val="center"/>
          </w:tcPr>
          <w:p w14:paraId="013B7703">
            <w:pPr>
              <w:rPr>
                <w:rFonts w:hint="eastAsia" w:ascii="宋体" w:hAnsi="宋体" w:cs="宋体"/>
                <w:color w:val="auto"/>
              </w:rPr>
            </w:pPr>
            <w:r>
              <w:rPr>
                <w:rFonts w:hint="eastAsia" w:ascii="宋体" w:hAnsi="宋体" w:cs="宋体"/>
                <w:color w:val="auto"/>
              </w:rPr>
              <w:t>分页展示最近做过检查的患者信息</w:t>
            </w:r>
          </w:p>
        </w:tc>
      </w:tr>
      <w:tr w14:paraId="3C0B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0769C843">
            <w:pPr>
              <w:ind w:firstLine="360"/>
              <w:jc w:val="center"/>
              <w:rPr>
                <w:rFonts w:hint="eastAsia" w:ascii="宋体" w:hAnsi="宋体" w:cs="宋体"/>
                <w:color w:val="auto"/>
              </w:rPr>
            </w:pPr>
          </w:p>
        </w:tc>
        <w:tc>
          <w:tcPr>
            <w:tcW w:w="1748" w:type="dxa"/>
            <w:vMerge w:val="continue"/>
            <w:vAlign w:val="center"/>
          </w:tcPr>
          <w:p w14:paraId="00346452">
            <w:pPr>
              <w:ind w:firstLine="360"/>
              <w:jc w:val="center"/>
              <w:rPr>
                <w:rFonts w:hint="eastAsia" w:ascii="宋体" w:hAnsi="宋体" w:cs="宋体"/>
                <w:color w:val="auto"/>
              </w:rPr>
            </w:pPr>
          </w:p>
        </w:tc>
        <w:tc>
          <w:tcPr>
            <w:tcW w:w="1625" w:type="dxa"/>
            <w:vAlign w:val="center"/>
          </w:tcPr>
          <w:p w14:paraId="74F9572E">
            <w:pPr>
              <w:rPr>
                <w:rFonts w:hint="eastAsia" w:ascii="宋体" w:hAnsi="宋体" w:cs="宋体"/>
                <w:color w:val="auto"/>
              </w:rPr>
            </w:pPr>
            <w:r>
              <w:rPr>
                <w:rFonts w:hint="eastAsia" w:ascii="宋体" w:hAnsi="宋体" w:cs="宋体"/>
                <w:color w:val="auto"/>
              </w:rPr>
              <w:t>患者查询</w:t>
            </w:r>
          </w:p>
        </w:tc>
        <w:tc>
          <w:tcPr>
            <w:tcW w:w="4534" w:type="dxa"/>
            <w:vAlign w:val="center"/>
          </w:tcPr>
          <w:p w14:paraId="1C92852A">
            <w:pPr>
              <w:rPr>
                <w:rFonts w:hint="eastAsia" w:ascii="宋体" w:hAnsi="宋体" w:cs="宋体"/>
                <w:color w:val="auto"/>
              </w:rPr>
            </w:pPr>
            <w:r>
              <w:rPr>
                <w:rFonts w:hint="eastAsia" w:ascii="宋体" w:hAnsi="宋体" w:cs="宋体"/>
                <w:color w:val="auto"/>
              </w:rPr>
              <w:t>提供日期选择仪器、病历号或患者姓名输入框查询患者</w:t>
            </w:r>
          </w:p>
        </w:tc>
      </w:tr>
      <w:tr w14:paraId="2766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184C78FD">
            <w:pPr>
              <w:ind w:firstLine="360"/>
              <w:jc w:val="center"/>
              <w:rPr>
                <w:rFonts w:hint="eastAsia" w:ascii="宋体" w:hAnsi="宋体" w:cs="宋体"/>
                <w:color w:val="auto"/>
              </w:rPr>
            </w:pPr>
          </w:p>
        </w:tc>
        <w:tc>
          <w:tcPr>
            <w:tcW w:w="1748" w:type="dxa"/>
            <w:vMerge w:val="continue"/>
            <w:vAlign w:val="center"/>
          </w:tcPr>
          <w:p w14:paraId="48CA4E43">
            <w:pPr>
              <w:ind w:firstLine="360"/>
              <w:jc w:val="center"/>
              <w:rPr>
                <w:rFonts w:hint="eastAsia" w:ascii="宋体" w:hAnsi="宋体" w:cs="宋体"/>
                <w:color w:val="auto"/>
              </w:rPr>
            </w:pPr>
          </w:p>
        </w:tc>
        <w:tc>
          <w:tcPr>
            <w:tcW w:w="1625" w:type="dxa"/>
            <w:vAlign w:val="center"/>
          </w:tcPr>
          <w:p w14:paraId="14293DB4">
            <w:pPr>
              <w:rPr>
                <w:rFonts w:hint="eastAsia" w:ascii="宋体" w:hAnsi="宋体" w:cs="宋体"/>
                <w:color w:val="auto"/>
              </w:rPr>
            </w:pPr>
            <w:r>
              <w:rPr>
                <w:rFonts w:hint="eastAsia" w:ascii="宋体" w:hAnsi="宋体" w:cs="宋体"/>
                <w:color w:val="auto"/>
              </w:rPr>
              <w:t>患者切换</w:t>
            </w:r>
          </w:p>
        </w:tc>
        <w:tc>
          <w:tcPr>
            <w:tcW w:w="4534" w:type="dxa"/>
            <w:vAlign w:val="center"/>
          </w:tcPr>
          <w:p w14:paraId="0D30E24F">
            <w:pPr>
              <w:rPr>
                <w:rFonts w:hint="eastAsia" w:ascii="宋体" w:hAnsi="宋体" w:cs="宋体"/>
                <w:color w:val="auto"/>
              </w:rPr>
            </w:pPr>
            <w:r>
              <w:rPr>
                <w:rFonts w:hint="eastAsia" w:ascii="宋体" w:hAnsi="宋体" w:cs="宋体"/>
                <w:color w:val="auto"/>
              </w:rPr>
              <w:t>单击患者列表中任意患者，将显示该患者的患者信息</w:t>
            </w:r>
          </w:p>
        </w:tc>
      </w:tr>
      <w:tr w14:paraId="7726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Align w:val="center"/>
          </w:tcPr>
          <w:p w14:paraId="275C0808">
            <w:pPr>
              <w:rPr>
                <w:rFonts w:hint="eastAsia" w:ascii="宋体" w:hAnsi="宋体" w:cs="宋体"/>
                <w:color w:val="auto"/>
              </w:rPr>
            </w:pPr>
            <w:r>
              <w:rPr>
                <w:rFonts w:hint="eastAsia" w:ascii="宋体" w:hAnsi="宋体" w:cs="宋体"/>
                <w:color w:val="auto"/>
              </w:rPr>
              <w:t>2</w:t>
            </w:r>
          </w:p>
        </w:tc>
        <w:tc>
          <w:tcPr>
            <w:tcW w:w="1748" w:type="dxa"/>
            <w:vAlign w:val="center"/>
          </w:tcPr>
          <w:p w14:paraId="10ACDA99">
            <w:pPr>
              <w:rPr>
                <w:rFonts w:hint="eastAsia" w:ascii="宋体" w:hAnsi="宋体" w:cs="宋体"/>
                <w:color w:val="auto"/>
              </w:rPr>
            </w:pPr>
            <w:r>
              <w:rPr>
                <w:rFonts w:hint="eastAsia" w:ascii="宋体" w:hAnsi="宋体" w:cs="宋体"/>
                <w:color w:val="auto"/>
              </w:rPr>
              <w:t>患者信息展示</w:t>
            </w:r>
          </w:p>
        </w:tc>
        <w:tc>
          <w:tcPr>
            <w:tcW w:w="1625" w:type="dxa"/>
            <w:vAlign w:val="center"/>
          </w:tcPr>
          <w:p w14:paraId="524AE231">
            <w:pPr>
              <w:rPr>
                <w:rFonts w:hint="eastAsia" w:ascii="宋体" w:hAnsi="宋体" w:cs="宋体"/>
                <w:color w:val="auto"/>
              </w:rPr>
            </w:pPr>
            <w:r>
              <w:rPr>
                <w:rFonts w:hint="eastAsia" w:ascii="宋体" w:hAnsi="宋体" w:cs="宋体"/>
                <w:color w:val="auto"/>
              </w:rPr>
              <w:t>患者信息展示</w:t>
            </w:r>
          </w:p>
        </w:tc>
        <w:tc>
          <w:tcPr>
            <w:tcW w:w="4534" w:type="dxa"/>
            <w:vAlign w:val="center"/>
          </w:tcPr>
          <w:p w14:paraId="1DD45E00">
            <w:pPr>
              <w:rPr>
                <w:rFonts w:hint="eastAsia" w:ascii="宋体" w:hAnsi="宋体" w:cs="宋体"/>
                <w:color w:val="auto"/>
              </w:rPr>
            </w:pPr>
            <w:r>
              <w:rPr>
                <w:rFonts w:hint="eastAsia" w:ascii="宋体" w:hAnsi="宋体" w:cs="宋体"/>
                <w:color w:val="auto"/>
              </w:rPr>
              <w:t>在合适位置展示当前查看的患者的姓名、年龄等重要信息</w:t>
            </w:r>
          </w:p>
        </w:tc>
      </w:tr>
      <w:tr w14:paraId="60B1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restart"/>
            <w:vAlign w:val="center"/>
          </w:tcPr>
          <w:p w14:paraId="2A1B5BDB">
            <w:pPr>
              <w:rPr>
                <w:rFonts w:hint="eastAsia" w:ascii="宋体" w:hAnsi="宋体" w:cs="宋体"/>
                <w:color w:val="auto"/>
              </w:rPr>
            </w:pPr>
            <w:r>
              <w:rPr>
                <w:rFonts w:hint="eastAsia" w:ascii="宋体" w:hAnsi="宋体" w:cs="宋体"/>
                <w:color w:val="auto"/>
              </w:rPr>
              <w:t>3</w:t>
            </w:r>
          </w:p>
        </w:tc>
        <w:tc>
          <w:tcPr>
            <w:tcW w:w="1748" w:type="dxa"/>
            <w:vMerge w:val="restart"/>
            <w:vAlign w:val="center"/>
          </w:tcPr>
          <w:p w14:paraId="769F97A1">
            <w:pPr>
              <w:rPr>
                <w:rFonts w:hint="eastAsia" w:ascii="宋体" w:hAnsi="宋体" w:cs="宋体"/>
                <w:color w:val="auto"/>
              </w:rPr>
            </w:pPr>
            <w:r>
              <w:rPr>
                <w:rFonts w:hint="eastAsia" w:ascii="宋体" w:hAnsi="宋体" w:cs="宋体"/>
                <w:color w:val="auto"/>
              </w:rPr>
              <w:t>影像浏览</w:t>
            </w:r>
          </w:p>
        </w:tc>
        <w:tc>
          <w:tcPr>
            <w:tcW w:w="1625" w:type="dxa"/>
            <w:vAlign w:val="center"/>
          </w:tcPr>
          <w:p w14:paraId="6388E8BB">
            <w:pPr>
              <w:rPr>
                <w:rFonts w:hint="eastAsia" w:ascii="宋体" w:hAnsi="宋体" w:cs="宋体"/>
                <w:color w:val="auto"/>
              </w:rPr>
            </w:pPr>
            <w:r>
              <w:rPr>
                <w:rFonts w:hint="eastAsia" w:ascii="宋体" w:hAnsi="宋体" w:cs="宋体"/>
                <w:color w:val="auto"/>
              </w:rPr>
              <w:t>检查列表</w:t>
            </w:r>
          </w:p>
        </w:tc>
        <w:tc>
          <w:tcPr>
            <w:tcW w:w="4534" w:type="dxa"/>
            <w:vAlign w:val="center"/>
          </w:tcPr>
          <w:p w14:paraId="165547D8">
            <w:pPr>
              <w:rPr>
                <w:rFonts w:hint="eastAsia" w:ascii="宋体" w:hAnsi="宋体" w:cs="宋体"/>
                <w:color w:val="auto"/>
              </w:rPr>
            </w:pPr>
            <w:r>
              <w:rPr>
                <w:rFonts w:hint="eastAsia" w:ascii="宋体" w:hAnsi="宋体" w:cs="宋体"/>
                <w:color w:val="auto"/>
              </w:rPr>
              <w:t>展示当前患者所有做过的检查</w:t>
            </w:r>
          </w:p>
        </w:tc>
      </w:tr>
      <w:tr w14:paraId="4304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2580FE8A">
            <w:pPr>
              <w:ind w:firstLine="360"/>
              <w:jc w:val="center"/>
              <w:rPr>
                <w:rFonts w:hint="eastAsia" w:ascii="宋体" w:hAnsi="宋体" w:cs="宋体"/>
                <w:color w:val="auto"/>
              </w:rPr>
            </w:pPr>
          </w:p>
        </w:tc>
        <w:tc>
          <w:tcPr>
            <w:tcW w:w="1748" w:type="dxa"/>
            <w:vMerge w:val="continue"/>
            <w:vAlign w:val="center"/>
          </w:tcPr>
          <w:p w14:paraId="60B1C940">
            <w:pPr>
              <w:ind w:firstLine="360"/>
              <w:jc w:val="center"/>
              <w:rPr>
                <w:rFonts w:hint="eastAsia" w:ascii="宋体" w:hAnsi="宋体" w:cs="宋体"/>
                <w:color w:val="auto"/>
              </w:rPr>
            </w:pPr>
          </w:p>
        </w:tc>
        <w:tc>
          <w:tcPr>
            <w:tcW w:w="1625" w:type="dxa"/>
            <w:vAlign w:val="center"/>
          </w:tcPr>
          <w:p w14:paraId="1F828347">
            <w:pPr>
              <w:rPr>
                <w:rFonts w:hint="eastAsia" w:ascii="宋体" w:hAnsi="宋体" w:cs="宋体"/>
                <w:color w:val="auto"/>
              </w:rPr>
            </w:pPr>
            <w:r>
              <w:rPr>
                <w:rFonts w:hint="eastAsia" w:ascii="宋体" w:hAnsi="宋体" w:cs="宋体"/>
                <w:color w:val="auto"/>
              </w:rPr>
              <w:t>影像列表</w:t>
            </w:r>
          </w:p>
        </w:tc>
        <w:tc>
          <w:tcPr>
            <w:tcW w:w="4534" w:type="dxa"/>
            <w:vAlign w:val="center"/>
          </w:tcPr>
          <w:p w14:paraId="6CF30B43">
            <w:pPr>
              <w:rPr>
                <w:rFonts w:hint="eastAsia" w:ascii="宋体" w:hAnsi="宋体" w:cs="宋体"/>
                <w:color w:val="auto"/>
              </w:rPr>
            </w:pPr>
            <w:r>
              <w:rPr>
                <w:rFonts w:hint="eastAsia" w:ascii="宋体" w:hAnsi="宋体" w:cs="宋体"/>
                <w:color w:val="auto"/>
              </w:rPr>
              <w:t>展示该患者某次检查结果的所有影像</w:t>
            </w:r>
          </w:p>
        </w:tc>
      </w:tr>
      <w:tr w14:paraId="0DFC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0D67A5D1">
            <w:pPr>
              <w:ind w:firstLine="360"/>
              <w:jc w:val="center"/>
              <w:rPr>
                <w:rFonts w:hint="eastAsia" w:ascii="宋体" w:hAnsi="宋体" w:cs="宋体"/>
                <w:color w:val="auto"/>
              </w:rPr>
            </w:pPr>
          </w:p>
        </w:tc>
        <w:tc>
          <w:tcPr>
            <w:tcW w:w="1748" w:type="dxa"/>
            <w:vMerge w:val="continue"/>
            <w:vAlign w:val="center"/>
          </w:tcPr>
          <w:p w14:paraId="5C50E94A">
            <w:pPr>
              <w:ind w:firstLine="360"/>
              <w:jc w:val="center"/>
              <w:rPr>
                <w:rFonts w:hint="eastAsia" w:ascii="宋体" w:hAnsi="宋体" w:cs="宋体"/>
                <w:color w:val="auto"/>
              </w:rPr>
            </w:pPr>
          </w:p>
        </w:tc>
        <w:tc>
          <w:tcPr>
            <w:tcW w:w="1625" w:type="dxa"/>
            <w:vAlign w:val="center"/>
          </w:tcPr>
          <w:p w14:paraId="271295B9">
            <w:pPr>
              <w:rPr>
                <w:rFonts w:hint="eastAsia" w:ascii="宋体" w:hAnsi="宋体" w:cs="宋体"/>
                <w:color w:val="auto"/>
              </w:rPr>
            </w:pPr>
            <w:r>
              <w:rPr>
                <w:rFonts w:hint="eastAsia" w:ascii="宋体" w:hAnsi="宋体" w:cs="宋体"/>
                <w:color w:val="auto"/>
              </w:rPr>
              <w:t>影像查询</w:t>
            </w:r>
          </w:p>
        </w:tc>
        <w:tc>
          <w:tcPr>
            <w:tcW w:w="4534" w:type="dxa"/>
            <w:vAlign w:val="center"/>
          </w:tcPr>
          <w:p w14:paraId="0F06ABE2">
            <w:pPr>
              <w:rPr>
                <w:rFonts w:hint="eastAsia" w:ascii="宋体" w:hAnsi="宋体" w:cs="宋体"/>
                <w:color w:val="auto"/>
              </w:rPr>
            </w:pPr>
            <w:r>
              <w:rPr>
                <w:rFonts w:hint="eastAsia" w:ascii="宋体" w:hAnsi="宋体" w:cs="宋体"/>
                <w:color w:val="auto"/>
              </w:rPr>
              <w:t>支持根据检查项目、检查日期等条件查询该患者的某次检查结果</w:t>
            </w:r>
          </w:p>
        </w:tc>
      </w:tr>
      <w:tr w14:paraId="4830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31FDB037">
            <w:pPr>
              <w:ind w:firstLine="360"/>
              <w:jc w:val="center"/>
              <w:rPr>
                <w:rFonts w:hint="eastAsia" w:ascii="宋体" w:hAnsi="宋体" w:cs="宋体"/>
                <w:color w:val="auto"/>
              </w:rPr>
            </w:pPr>
          </w:p>
        </w:tc>
        <w:tc>
          <w:tcPr>
            <w:tcW w:w="1748" w:type="dxa"/>
            <w:vMerge w:val="continue"/>
            <w:vAlign w:val="center"/>
          </w:tcPr>
          <w:p w14:paraId="6C5DF9BB">
            <w:pPr>
              <w:ind w:firstLine="360"/>
              <w:jc w:val="center"/>
              <w:rPr>
                <w:rFonts w:hint="eastAsia" w:ascii="宋体" w:hAnsi="宋体" w:cs="宋体"/>
                <w:color w:val="auto"/>
              </w:rPr>
            </w:pPr>
          </w:p>
        </w:tc>
        <w:tc>
          <w:tcPr>
            <w:tcW w:w="1625" w:type="dxa"/>
            <w:vAlign w:val="center"/>
          </w:tcPr>
          <w:p w14:paraId="6C426D46">
            <w:pPr>
              <w:rPr>
                <w:rFonts w:hint="eastAsia" w:ascii="宋体" w:hAnsi="宋体" w:cs="宋体"/>
                <w:color w:val="auto"/>
              </w:rPr>
            </w:pPr>
            <w:r>
              <w:rPr>
                <w:rFonts w:hint="eastAsia" w:ascii="宋体" w:hAnsi="宋体" w:cs="宋体"/>
                <w:color w:val="auto"/>
              </w:rPr>
              <w:t>影像分类</w:t>
            </w:r>
          </w:p>
        </w:tc>
        <w:tc>
          <w:tcPr>
            <w:tcW w:w="4534" w:type="dxa"/>
            <w:vAlign w:val="center"/>
          </w:tcPr>
          <w:p w14:paraId="4B66F776">
            <w:pPr>
              <w:rPr>
                <w:rFonts w:hint="eastAsia" w:ascii="宋体" w:hAnsi="宋体" w:cs="宋体"/>
                <w:color w:val="auto"/>
              </w:rPr>
            </w:pPr>
            <w:r>
              <w:rPr>
                <w:rFonts w:hint="eastAsia" w:ascii="宋体" w:hAnsi="宋体" w:cs="宋体"/>
                <w:color w:val="auto"/>
              </w:rPr>
              <w:t>可选择根据检查项目或检查日期来查看检查结果</w:t>
            </w:r>
          </w:p>
        </w:tc>
      </w:tr>
      <w:tr w14:paraId="5A66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restart"/>
            <w:vAlign w:val="center"/>
          </w:tcPr>
          <w:p w14:paraId="7FEFB96C">
            <w:pPr>
              <w:rPr>
                <w:rFonts w:hint="eastAsia" w:ascii="宋体" w:hAnsi="宋体" w:cs="宋体"/>
                <w:color w:val="auto"/>
              </w:rPr>
            </w:pPr>
            <w:r>
              <w:rPr>
                <w:rFonts w:hint="eastAsia" w:ascii="宋体" w:hAnsi="宋体" w:cs="宋体"/>
                <w:color w:val="auto"/>
              </w:rPr>
              <w:t>4</w:t>
            </w:r>
          </w:p>
        </w:tc>
        <w:tc>
          <w:tcPr>
            <w:tcW w:w="1748" w:type="dxa"/>
            <w:vMerge w:val="restart"/>
            <w:vAlign w:val="center"/>
          </w:tcPr>
          <w:p w14:paraId="2AA9524E">
            <w:pPr>
              <w:rPr>
                <w:rFonts w:hint="eastAsia" w:ascii="宋体" w:hAnsi="宋体" w:cs="宋体"/>
                <w:color w:val="auto"/>
              </w:rPr>
            </w:pPr>
            <w:r>
              <w:rPr>
                <w:rFonts w:hint="eastAsia" w:ascii="宋体" w:hAnsi="宋体" w:cs="宋体"/>
                <w:color w:val="auto"/>
              </w:rPr>
              <w:t>阅片管理</w:t>
            </w:r>
          </w:p>
        </w:tc>
        <w:tc>
          <w:tcPr>
            <w:tcW w:w="1625" w:type="dxa"/>
            <w:vAlign w:val="center"/>
          </w:tcPr>
          <w:p w14:paraId="3CC74DBB">
            <w:pPr>
              <w:rPr>
                <w:rFonts w:hint="eastAsia" w:ascii="宋体" w:hAnsi="宋体" w:cs="宋体"/>
                <w:color w:val="auto"/>
              </w:rPr>
            </w:pPr>
            <w:r>
              <w:rPr>
                <w:rFonts w:hint="eastAsia" w:ascii="宋体" w:hAnsi="宋体" w:cs="宋体"/>
                <w:color w:val="auto"/>
              </w:rPr>
              <w:t>序列布局</w:t>
            </w:r>
          </w:p>
        </w:tc>
        <w:tc>
          <w:tcPr>
            <w:tcW w:w="4534" w:type="dxa"/>
            <w:vAlign w:val="center"/>
          </w:tcPr>
          <w:p w14:paraId="44FDDF24">
            <w:pPr>
              <w:rPr>
                <w:rFonts w:hint="eastAsia" w:ascii="宋体" w:hAnsi="宋体" w:cs="宋体"/>
                <w:color w:val="auto"/>
              </w:rPr>
            </w:pPr>
            <w:r>
              <w:rPr>
                <w:rFonts w:hint="eastAsia" w:ascii="宋体" w:hAnsi="宋体" w:cs="宋体"/>
                <w:color w:val="auto"/>
              </w:rPr>
              <w:t>可进行图像窗口布局调整，可以根据图像类型自动调整图像布局，也可以根据需要手动设定窗口分格</w:t>
            </w:r>
          </w:p>
        </w:tc>
      </w:tr>
      <w:tr w14:paraId="6D7FE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2149170B">
            <w:pPr>
              <w:ind w:firstLine="360"/>
              <w:jc w:val="center"/>
              <w:rPr>
                <w:rFonts w:hint="eastAsia" w:ascii="宋体" w:hAnsi="宋体" w:cs="宋体"/>
                <w:color w:val="auto"/>
              </w:rPr>
            </w:pPr>
          </w:p>
        </w:tc>
        <w:tc>
          <w:tcPr>
            <w:tcW w:w="1748" w:type="dxa"/>
            <w:vMerge w:val="continue"/>
            <w:vAlign w:val="center"/>
          </w:tcPr>
          <w:p w14:paraId="0C05C8B5">
            <w:pPr>
              <w:ind w:firstLine="360"/>
              <w:jc w:val="center"/>
              <w:rPr>
                <w:rFonts w:hint="eastAsia" w:ascii="宋体" w:hAnsi="宋体" w:cs="宋体"/>
                <w:color w:val="auto"/>
              </w:rPr>
            </w:pPr>
          </w:p>
        </w:tc>
        <w:tc>
          <w:tcPr>
            <w:tcW w:w="1625" w:type="dxa"/>
            <w:vAlign w:val="center"/>
          </w:tcPr>
          <w:p w14:paraId="54F174B6">
            <w:pPr>
              <w:rPr>
                <w:rFonts w:hint="eastAsia" w:ascii="宋体" w:hAnsi="宋体" w:cs="宋体"/>
                <w:color w:val="auto"/>
              </w:rPr>
            </w:pPr>
            <w:r>
              <w:rPr>
                <w:rFonts w:hint="eastAsia" w:ascii="宋体" w:hAnsi="宋体" w:cs="宋体"/>
                <w:color w:val="auto"/>
              </w:rPr>
              <w:t>窗宽窗位</w:t>
            </w:r>
          </w:p>
        </w:tc>
        <w:tc>
          <w:tcPr>
            <w:tcW w:w="4534" w:type="dxa"/>
            <w:vAlign w:val="center"/>
          </w:tcPr>
          <w:p w14:paraId="4E17435B">
            <w:pPr>
              <w:rPr>
                <w:rFonts w:hint="eastAsia" w:ascii="宋体" w:hAnsi="宋体" w:cs="宋体"/>
                <w:color w:val="auto"/>
              </w:rPr>
            </w:pPr>
            <w:r>
              <w:rPr>
                <w:rFonts w:hint="eastAsia" w:ascii="宋体" w:hAnsi="宋体" w:cs="宋体"/>
                <w:color w:val="auto"/>
              </w:rPr>
              <w:t>在图像上点击后拖动可调整影像的窗宽窗位</w:t>
            </w:r>
          </w:p>
        </w:tc>
      </w:tr>
      <w:tr w14:paraId="683F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5DDC7A1C">
            <w:pPr>
              <w:ind w:firstLine="360"/>
              <w:jc w:val="center"/>
              <w:rPr>
                <w:rFonts w:hint="eastAsia" w:ascii="宋体" w:hAnsi="宋体" w:cs="宋体"/>
                <w:color w:val="auto"/>
              </w:rPr>
            </w:pPr>
          </w:p>
        </w:tc>
        <w:tc>
          <w:tcPr>
            <w:tcW w:w="1748" w:type="dxa"/>
            <w:vMerge w:val="continue"/>
            <w:vAlign w:val="center"/>
          </w:tcPr>
          <w:p w14:paraId="6E4575D6">
            <w:pPr>
              <w:ind w:firstLine="360"/>
              <w:jc w:val="center"/>
              <w:rPr>
                <w:rFonts w:hint="eastAsia" w:ascii="宋体" w:hAnsi="宋体" w:cs="宋体"/>
                <w:color w:val="auto"/>
              </w:rPr>
            </w:pPr>
          </w:p>
        </w:tc>
        <w:tc>
          <w:tcPr>
            <w:tcW w:w="1625" w:type="dxa"/>
            <w:vAlign w:val="center"/>
          </w:tcPr>
          <w:p w14:paraId="79C681A2">
            <w:pPr>
              <w:rPr>
                <w:rFonts w:hint="eastAsia" w:ascii="宋体" w:hAnsi="宋体" w:cs="宋体"/>
                <w:color w:val="auto"/>
              </w:rPr>
            </w:pPr>
            <w:r>
              <w:rPr>
                <w:rFonts w:hint="eastAsia" w:ascii="宋体" w:hAnsi="宋体" w:cs="宋体"/>
                <w:color w:val="auto"/>
              </w:rPr>
              <w:t>拖动放大</w:t>
            </w:r>
          </w:p>
        </w:tc>
        <w:tc>
          <w:tcPr>
            <w:tcW w:w="4534" w:type="dxa"/>
            <w:vAlign w:val="center"/>
          </w:tcPr>
          <w:p w14:paraId="4F681D76">
            <w:pPr>
              <w:rPr>
                <w:rFonts w:hint="eastAsia" w:ascii="宋体" w:hAnsi="宋体" w:cs="宋体"/>
                <w:color w:val="auto"/>
              </w:rPr>
            </w:pPr>
            <w:r>
              <w:rPr>
                <w:rFonts w:hint="eastAsia" w:ascii="宋体" w:hAnsi="宋体" w:cs="宋体"/>
                <w:color w:val="auto"/>
              </w:rPr>
              <w:t>按住鼠标右键可快速调节图像大小</w:t>
            </w:r>
          </w:p>
        </w:tc>
      </w:tr>
      <w:tr w14:paraId="66D4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5577AB5B">
            <w:pPr>
              <w:ind w:firstLine="360"/>
              <w:jc w:val="center"/>
              <w:rPr>
                <w:rFonts w:hint="eastAsia" w:ascii="宋体" w:hAnsi="宋体" w:cs="宋体"/>
                <w:color w:val="auto"/>
              </w:rPr>
            </w:pPr>
          </w:p>
        </w:tc>
        <w:tc>
          <w:tcPr>
            <w:tcW w:w="1748" w:type="dxa"/>
            <w:vMerge w:val="continue"/>
            <w:vAlign w:val="center"/>
          </w:tcPr>
          <w:p w14:paraId="6AF5B7EB">
            <w:pPr>
              <w:ind w:firstLine="360"/>
              <w:jc w:val="center"/>
              <w:rPr>
                <w:rFonts w:hint="eastAsia" w:ascii="宋体" w:hAnsi="宋体" w:cs="宋体"/>
                <w:color w:val="auto"/>
              </w:rPr>
            </w:pPr>
          </w:p>
        </w:tc>
        <w:tc>
          <w:tcPr>
            <w:tcW w:w="1625" w:type="dxa"/>
            <w:vAlign w:val="center"/>
          </w:tcPr>
          <w:p w14:paraId="6F9DA7DB">
            <w:pPr>
              <w:rPr>
                <w:rFonts w:hint="eastAsia" w:ascii="宋体" w:hAnsi="宋体" w:cs="宋体"/>
                <w:color w:val="auto"/>
              </w:rPr>
            </w:pPr>
            <w:r>
              <w:rPr>
                <w:rFonts w:hint="eastAsia" w:ascii="宋体" w:hAnsi="宋体" w:cs="宋体"/>
                <w:color w:val="auto"/>
              </w:rPr>
              <w:t>放大</w:t>
            </w:r>
          </w:p>
        </w:tc>
        <w:tc>
          <w:tcPr>
            <w:tcW w:w="4534" w:type="dxa"/>
            <w:vAlign w:val="center"/>
          </w:tcPr>
          <w:p w14:paraId="0E3D7592">
            <w:pPr>
              <w:rPr>
                <w:rFonts w:hint="eastAsia" w:ascii="宋体" w:hAnsi="宋体" w:cs="宋体"/>
                <w:color w:val="auto"/>
              </w:rPr>
            </w:pPr>
            <w:r>
              <w:rPr>
                <w:rFonts w:hint="eastAsia" w:ascii="宋体" w:hAnsi="宋体" w:cs="宋体"/>
                <w:color w:val="auto"/>
              </w:rPr>
              <w:t>图像整体逐级放大</w:t>
            </w:r>
          </w:p>
        </w:tc>
      </w:tr>
      <w:tr w14:paraId="4966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734FA358">
            <w:pPr>
              <w:ind w:firstLine="360"/>
              <w:jc w:val="center"/>
              <w:rPr>
                <w:rFonts w:hint="eastAsia" w:ascii="宋体" w:hAnsi="宋体" w:cs="宋体"/>
                <w:color w:val="auto"/>
              </w:rPr>
            </w:pPr>
          </w:p>
        </w:tc>
        <w:tc>
          <w:tcPr>
            <w:tcW w:w="1748" w:type="dxa"/>
            <w:vMerge w:val="continue"/>
            <w:vAlign w:val="center"/>
          </w:tcPr>
          <w:p w14:paraId="513A59D5">
            <w:pPr>
              <w:ind w:firstLine="360"/>
              <w:jc w:val="center"/>
              <w:rPr>
                <w:rFonts w:hint="eastAsia" w:ascii="宋体" w:hAnsi="宋体" w:cs="宋体"/>
                <w:color w:val="auto"/>
              </w:rPr>
            </w:pPr>
          </w:p>
        </w:tc>
        <w:tc>
          <w:tcPr>
            <w:tcW w:w="1625" w:type="dxa"/>
            <w:vAlign w:val="center"/>
          </w:tcPr>
          <w:p w14:paraId="46952BC0">
            <w:pPr>
              <w:rPr>
                <w:rFonts w:hint="eastAsia" w:ascii="宋体" w:hAnsi="宋体" w:cs="宋体"/>
                <w:color w:val="auto"/>
              </w:rPr>
            </w:pPr>
            <w:r>
              <w:rPr>
                <w:rFonts w:hint="eastAsia" w:ascii="宋体" w:hAnsi="宋体" w:cs="宋体"/>
                <w:color w:val="auto"/>
              </w:rPr>
              <w:t>反色</w:t>
            </w:r>
          </w:p>
        </w:tc>
        <w:tc>
          <w:tcPr>
            <w:tcW w:w="4534" w:type="dxa"/>
            <w:vAlign w:val="center"/>
          </w:tcPr>
          <w:p w14:paraId="63BC49C0">
            <w:pPr>
              <w:rPr>
                <w:rFonts w:hint="eastAsia" w:ascii="宋体" w:hAnsi="宋体" w:cs="宋体"/>
                <w:color w:val="auto"/>
              </w:rPr>
            </w:pPr>
            <w:r>
              <w:rPr>
                <w:rFonts w:hint="eastAsia" w:ascii="宋体" w:hAnsi="宋体" w:cs="宋体"/>
                <w:color w:val="auto"/>
              </w:rPr>
              <w:t>将图像以反色格式显示</w:t>
            </w:r>
          </w:p>
        </w:tc>
      </w:tr>
      <w:tr w14:paraId="45DF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737BCE23">
            <w:pPr>
              <w:ind w:firstLine="360"/>
              <w:jc w:val="center"/>
              <w:rPr>
                <w:rFonts w:hint="eastAsia" w:ascii="宋体" w:hAnsi="宋体" w:cs="宋体"/>
                <w:color w:val="auto"/>
              </w:rPr>
            </w:pPr>
          </w:p>
        </w:tc>
        <w:tc>
          <w:tcPr>
            <w:tcW w:w="1748" w:type="dxa"/>
            <w:vMerge w:val="continue"/>
            <w:vAlign w:val="center"/>
          </w:tcPr>
          <w:p w14:paraId="6FA01AC2">
            <w:pPr>
              <w:ind w:firstLine="360"/>
              <w:jc w:val="center"/>
              <w:rPr>
                <w:rFonts w:hint="eastAsia" w:ascii="宋体" w:hAnsi="宋体" w:cs="宋体"/>
                <w:color w:val="auto"/>
              </w:rPr>
            </w:pPr>
          </w:p>
        </w:tc>
        <w:tc>
          <w:tcPr>
            <w:tcW w:w="1625" w:type="dxa"/>
            <w:vAlign w:val="center"/>
          </w:tcPr>
          <w:p w14:paraId="6C2F8307">
            <w:pPr>
              <w:tabs>
                <w:tab w:val="left" w:pos="459"/>
                <w:tab w:val="center" w:pos="1196"/>
              </w:tabs>
              <w:rPr>
                <w:rFonts w:hint="eastAsia" w:ascii="宋体" w:hAnsi="宋体" w:cs="宋体"/>
                <w:color w:val="auto"/>
              </w:rPr>
            </w:pPr>
            <w:r>
              <w:rPr>
                <w:rFonts w:hint="eastAsia" w:ascii="宋体" w:hAnsi="宋体" w:cs="宋体"/>
                <w:color w:val="auto"/>
              </w:rPr>
              <w:t>适应图像</w:t>
            </w:r>
          </w:p>
        </w:tc>
        <w:tc>
          <w:tcPr>
            <w:tcW w:w="4534" w:type="dxa"/>
            <w:vAlign w:val="center"/>
          </w:tcPr>
          <w:p w14:paraId="75C29BCD">
            <w:pPr>
              <w:rPr>
                <w:rFonts w:hint="eastAsia" w:ascii="宋体" w:hAnsi="宋体" w:cs="宋体"/>
                <w:color w:val="auto"/>
              </w:rPr>
            </w:pPr>
            <w:r>
              <w:rPr>
                <w:rFonts w:hint="eastAsia" w:ascii="宋体" w:hAnsi="宋体" w:cs="宋体"/>
                <w:color w:val="auto"/>
              </w:rPr>
              <w:t>显示图片原始大小</w:t>
            </w:r>
          </w:p>
        </w:tc>
      </w:tr>
      <w:tr w14:paraId="6F8A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3BE72860">
            <w:pPr>
              <w:ind w:firstLine="360"/>
              <w:jc w:val="center"/>
              <w:rPr>
                <w:rFonts w:hint="eastAsia" w:ascii="宋体" w:hAnsi="宋体" w:cs="宋体"/>
                <w:color w:val="auto"/>
              </w:rPr>
            </w:pPr>
          </w:p>
        </w:tc>
        <w:tc>
          <w:tcPr>
            <w:tcW w:w="1748" w:type="dxa"/>
            <w:vMerge w:val="continue"/>
            <w:vAlign w:val="center"/>
          </w:tcPr>
          <w:p w14:paraId="2E04BA9A">
            <w:pPr>
              <w:ind w:firstLine="360"/>
              <w:jc w:val="center"/>
              <w:rPr>
                <w:rFonts w:hint="eastAsia" w:ascii="宋体" w:hAnsi="宋体" w:cs="宋体"/>
                <w:color w:val="auto"/>
              </w:rPr>
            </w:pPr>
          </w:p>
        </w:tc>
        <w:tc>
          <w:tcPr>
            <w:tcW w:w="1625" w:type="dxa"/>
            <w:vAlign w:val="center"/>
          </w:tcPr>
          <w:p w14:paraId="0677639D">
            <w:pPr>
              <w:rPr>
                <w:rFonts w:hint="eastAsia" w:ascii="宋体" w:hAnsi="宋体" w:cs="宋体"/>
                <w:color w:val="auto"/>
              </w:rPr>
            </w:pPr>
            <w:r>
              <w:rPr>
                <w:rFonts w:hint="eastAsia" w:ascii="宋体" w:hAnsi="宋体" w:cs="宋体"/>
                <w:color w:val="auto"/>
              </w:rPr>
              <w:t>水平镜像</w:t>
            </w:r>
          </w:p>
        </w:tc>
        <w:tc>
          <w:tcPr>
            <w:tcW w:w="4534" w:type="dxa"/>
            <w:vAlign w:val="center"/>
          </w:tcPr>
          <w:p w14:paraId="2D354452">
            <w:pPr>
              <w:rPr>
                <w:rFonts w:hint="eastAsia" w:ascii="宋体" w:hAnsi="宋体" w:cs="宋体"/>
                <w:color w:val="auto"/>
              </w:rPr>
            </w:pPr>
            <w:r>
              <w:rPr>
                <w:rFonts w:hint="eastAsia" w:ascii="宋体" w:hAnsi="宋体" w:cs="宋体"/>
                <w:color w:val="auto"/>
              </w:rPr>
              <w:t>可对图像进行翻转操作，可对图像进行水平180度翻转操作</w:t>
            </w:r>
          </w:p>
        </w:tc>
      </w:tr>
      <w:tr w14:paraId="18AC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38ECF649">
            <w:pPr>
              <w:ind w:firstLine="360"/>
              <w:jc w:val="center"/>
              <w:rPr>
                <w:rFonts w:hint="eastAsia" w:ascii="宋体" w:hAnsi="宋体" w:cs="宋体"/>
                <w:color w:val="auto"/>
              </w:rPr>
            </w:pPr>
          </w:p>
        </w:tc>
        <w:tc>
          <w:tcPr>
            <w:tcW w:w="1748" w:type="dxa"/>
            <w:vMerge w:val="continue"/>
            <w:vAlign w:val="center"/>
          </w:tcPr>
          <w:p w14:paraId="75B12E0D">
            <w:pPr>
              <w:ind w:firstLine="360"/>
              <w:jc w:val="center"/>
              <w:rPr>
                <w:rFonts w:hint="eastAsia" w:ascii="宋体" w:hAnsi="宋体" w:cs="宋体"/>
                <w:color w:val="auto"/>
              </w:rPr>
            </w:pPr>
          </w:p>
        </w:tc>
        <w:tc>
          <w:tcPr>
            <w:tcW w:w="1625" w:type="dxa"/>
            <w:vAlign w:val="center"/>
          </w:tcPr>
          <w:p w14:paraId="29409944">
            <w:pPr>
              <w:rPr>
                <w:rFonts w:hint="eastAsia" w:ascii="宋体" w:hAnsi="宋体" w:cs="宋体"/>
                <w:color w:val="auto"/>
              </w:rPr>
            </w:pPr>
            <w:r>
              <w:rPr>
                <w:rFonts w:hint="eastAsia" w:ascii="宋体" w:hAnsi="宋体" w:cs="宋体"/>
                <w:color w:val="auto"/>
              </w:rPr>
              <w:t>顺时针旋转</w:t>
            </w:r>
          </w:p>
        </w:tc>
        <w:tc>
          <w:tcPr>
            <w:tcW w:w="4534" w:type="dxa"/>
            <w:vAlign w:val="center"/>
          </w:tcPr>
          <w:p w14:paraId="2E4498F3">
            <w:pPr>
              <w:rPr>
                <w:rFonts w:hint="eastAsia" w:ascii="宋体" w:hAnsi="宋体" w:cs="宋体"/>
                <w:color w:val="auto"/>
              </w:rPr>
            </w:pPr>
            <w:r>
              <w:rPr>
                <w:rFonts w:hint="eastAsia" w:ascii="宋体" w:hAnsi="宋体" w:cs="宋体"/>
                <w:color w:val="auto"/>
              </w:rPr>
              <w:t>可对图像进行旋转操作，可对图像进行顺时针旋转90度操作</w:t>
            </w:r>
          </w:p>
        </w:tc>
      </w:tr>
      <w:tr w14:paraId="4A3C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2B0009A2">
            <w:pPr>
              <w:ind w:firstLine="360"/>
              <w:jc w:val="center"/>
              <w:rPr>
                <w:rFonts w:hint="eastAsia" w:ascii="宋体" w:hAnsi="宋体" w:cs="宋体"/>
                <w:color w:val="auto"/>
              </w:rPr>
            </w:pPr>
          </w:p>
        </w:tc>
        <w:tc>
          <w:tcPr>
            <w:tcW w:w="1748" w:type="dxa"/>
            <w:vMerge w:val="continue"/>
            <w:vAlign w:val="center"/>
          </w:tcPr>
          <w:p w14:paraId="3B7E5F79">
            <w:pPr>
              <w:ind w:firstLine="360"/>
              <w:jc w:val="center"/>
              <w:rPr>
                <w:rFonts w:hint="eastAsia" w:ascii="宋体" w:hAnsi="宋体" w:cs="宋体"/>
                <w:color w:val="auto"/>
              </w:rPr>
            </w:pPr>
          </w:p>
        </w:tc>
        <w:tc>
          <w:tcPr>
            <w:tcW w:w="1625" w:type="dxa"/>
            <w:vAlign w:val="center"/>
          </w:tcPr>
          <w:p w14:paraId="7A2173B4">
            <w:pPr>
              <w:rPr>
                <w:rFonts w:hint="eastAsia" w:ascii="宋体" w:hAnsi="宋体" w:cs="宋体"/>
                <w:color w:val="auto"/>
              </w:rPr>
            </w:pPr>
            <w:r>
              <w:rPr>
                <w:rFonts w:hint="eastAsia" w:ascii="宋体" w:hAnsi="宋体" w:cs="宋体"/>
                <w:color w:val="auto"/>
              </w:rPr>
              <w:t>查看信息</w:t>
            </w:r>
          </w:p>
        </w:tc>
        <w:tc>
          <w:tcPr>
            <w:tcW w:w="4534" w:type="dxa"/>
            <w:vAlign w:val="center"/>
          </w:tcPr>
          <w:p w14:paraId="7060BCEB">
            <w:pPr>
              <w:rPr>
                <w:rFonts w:hint="eastAsia" w:ascii="宋体" w:hAnsi="宋体" w:cs="宋体"/>
                <w:color w:val="auto"/>
              </w:rPr>
            </w:pPr>
            <w:r>
              <w:rPr>
                <w:rFonts w:hint="eastAsia" w:ascii="宋体" w:hAnsi="宋体" w:cs="宋体"/>
                <w:color w:val="auto"/>
              </w:rPr>
              <w:t>查看影像的属性信息</w:t>
            </w:r>
          </w:p>
        </w:tc>
      </w:tr>
      <w:tr w14:paraId="792D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0DEF7765">
            <w:pPr>
              <w:ind w:firstLine="360"/>
              <w:jc w:val="center"/>
              <w:rPr>
                <w:rFonts w:hint="eastAsia" w:ascii="宋体" w:hAnsi="宋体" w:cs="宋体"/>
                <w:color w:val="auto"/>
              </w:rPr>
            </w:pPr>
          </w:p>
        </w:tc>
        <w:tc>
          <w:tcPr>
            <w:tcW w:w="1748" w:type="dxa"/>
            <w:vMerge w:val="continue"/>
            <w:vAlign w:val="center"/>
          </w:tcPr>
          <w:p w14:paraId="36C41849">
            <w:pPr>
              <w:ind w:firstLine="360"/>
              <w:jc w:val="center"/>
              <w:rPr>
                <w:rFonts w:hint="eastAsia" w:ascii="宋体" w:hAnsi="宋体" w:cs="宋体"/>
                <w:color w:val="auto"/>
              </w:rPr>
            </w:pPr>
          </w:p>
        </w:tc>
        <w:tc>
          <w:tcPr>
            <w:tcW w:w="1625" w:type="dxa"/>
            <w:vAlign w:val="center"/>
          </w:tcPr>
          <w:p w14:paraId="1BE48402">
            <w:pPr>
              <w:rPr>
                <w:rFonts w:hint="eastAsia" w:ascii="宋体" w:hAnsi="宋体" w:cs="宋体"/>
                <w:color w:val="auto"/>
              </w:rPr>
            </w:pPr>
            <w:r>
              <w:rPr>
                <w:rFonts w:hint="eastAsia" w:ascii="宋体" w:hAnsi="宋体" w:cs="宋体"/>
                <w:color w:val="auto"/>
              </w:rPr>
              <w:t>标注</w:t>
            </w:r>
          </w:p>
        </w:tc>
        <w:tc>
          <w:tcPr>
            <w:tcW w:w="4534" w:type="dxa"/>
            <w:vAlign w:val="center"/>
          </w:tcPr>
          <w:p w14:paraId="28A91240">
            <w:pPr>
              <w:rPr>
                <w:rFonts w:hint="eastAsia" w:ascii="宋体" w:hAnsi="宋体" w:cs="宋体"/>
                <w:color w:val="auto"/>
              </w:rPr>
            </w:pPr>
            <w:r>
              <w:rPr>
                <w:rFonts w:hint="eastAsia" w:ascii="宋体" w:hAnsi="宋体" w:cs="宋体"/>
                <w:color w:val="auto"/>
              </w:rPr>
              <w:t>对指定位置进行指向性标注</w:t>
            </w:r>
          </w:p>
        </w:tc>
      </w:tr>
      <w:tr w14:paraId="7A213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8" w:type="dxa"/>
            <w:vMerge w:val="continue"/>
            <w:vAlign w:val="center"/>
          </w:tcPr>
          <w:p w14:paraId="71DE8BDB">
            <w:pPr>
              <w:ind w:firstLine="360"/>
              <w:jc w:val="center"/>
              <w:rPr>
                <w:rFonts w:hint="eastAsia" w:ascii="宋体" w:hAnsi="宋体" w:cs="宋体"/>
                <w:color w:val="auto"/>
              </w:rPr>
            </w:pPr>
          </w:p>
        </w:tc>
        <w:tc>
          <w:tcPr>
            <w:tcW w:w="1748" w:type="dxa"/>
            <w:vMerge w:val="continue"/>
            <w:vAlign w:val="center"/>
          </w:tcPr>
          <w:p w14:paraId="01A84214">
            <w:pPr>
              <w:ind w:firstLine="360"/>
              <w:jc w:val="center"/>
              <w:rPr>
                <w:rFonts w:hint="eastAsia" w:ascii="宋体" w:hAnsi="宋体" w:cs="宋体"/>
                <w:color w:val="auto"/>
              </w:rPr>
            </w:pPr>
          </w:p>
        </w:tc>
        <w:tc>
          <w:tcPr>
            <w:tcW w:w="1625" w:type="dxa"/>
            <w:vAlign w:val="center"/>
          </w:tcPr>
          <w:p w14:paraId="2EFBB3F0">
            <w:pPr>
              <w:rPr>
                <w:rFonts w:hint="eastAsia" w:ascii="宋体" w:hAnsi="宋体" w:cs="宋体"/>
                <w:color w:val="auto"/>
              </w:rPr>
            </w:pPr>
            <w:r>
              <w:rPr>
                <w:rFonts w:hint="eastAsia" w:ascii="宋体" w:hAnsi="宋体" w:cs="宋体"/>
                <w:color w:val="auto"/>
              </w:rPr>
              <w:t>恢复</w:t>
            </w:r>
          </w:p>
        </w:tc>
        <w:tc>
          <w:tcPr>
            <w:tcW w:w="4534" w:type="dxa"/>
            <w:vAlign w:val="center"/>
          </w:tcPr>
          <w:p w14:paraId="0932BA49">
            <w:pPr>
              <w:rPr>
                <w:rFonts w:hint="eastAsia" w:ascii="宋体" w:hAnsi="宋体" w:cs="宋体"/>
                <w:color w:val="auto"/>
              </w:rPr>
            </w:pPr>
            <w:r>
              <w:rPr>
                <w:rFonts w:hint="eastAsia" w:ascii="宋体" w:hAnsi="宋体" w:cs="宋体"/>
                <w:color w:val="auto"/>
              </w:rPr>
              <w:t>可清空图像上的相关标准，恢复图像的原始转状态</w:t>
            </w:r>
          </w:p>
        </w:tc>
      </w:tr>
      <w:tr w14:paraId="7CBC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66FD5AEC">
            <w:pPr>
              <w:ind w:firstLine="360"/>
              <w:jc w:val="center"/>
              <w:rPr>
                <w:rFonts w:hint="eastAsia" w:ascii="宋体" w:hAnsi="宋体" w:cs="宋体"/>
                <w:color w:val="auto"/>
              </w:rPr>
            </w:pPr>
          </w:p>
        </w:tc>
        <w:tc>
          <w:tcPr>
            <w:tcW w:w="1748" w:type="dxa"/>
            <w:vMerge w:val="continue"/>
            <w:vAlign w:val="center"/>
          </w:tcPr>
          <w:p w14:paraId="2096097F">
            <w:pPr>
              <w:ind w:firstLine="360"/>
              <w:jc w:val="center"/>
              <w:rPr>
                <w:rFonts w:hint="eastAsia" w:ascii="宋体" w:hAnsi="宋体" w:cs="宋体"/>
                <w:color w:val="auto"/>
              </w:rPr>
            </w:pPr>
          </w:p>
        </w:tc>
        <w:tc>
          <w:tcPr>
            <w:tcW w:w="1625" w:type="dxa"/>
            <w:vAlign w:val="center"/>
          </w:tcPr>
          <w:p w14:paraId="36F706FB">
            <w:pPr>
              <w:rPr>
                <w:rFonts w:hint="eastAsia" w:ascii="宋体" w:hAnsi="宋体" w:cs="宋体"/>
                <w:color w:val="auto"/>
              </w:rPr>
            </w:pPr>
            <w:r>
              <w:rPr>
                <w:rFonts w:hint="eastAsia" w:ascii="宋体" w:hAnsi="宋体" w:cs="宋体"/>
                <w:color w:val="auto"/>
              </w:rPr>
              <w:t>移动</w:t>
            </w:r>
          </w:p>
        </w:tc>
        <w:tc>
          <w:tcPr>
            <w:tcW w:w="4534" w:type="dxa"/>
            <w:vAlign w:val="center"/>
          </w:tcPr>
          <w:p w14:paraId="3DD3ADB7">
            <w:pPr>
              <w:rPr>
                <w:rFonts w:hint="eastAsia" w:ascii="宋体" w:hAnsi="宋体" w:cs="宋体"/>
                <w:color w:val="auto"/>
              </w:rPr>
            </w:pPr>
            <w:r>
              <w:rPr>
                <w:rFonts w:hint="eastAsia" w:ascii="宋体" w:hAnsi="宋体" w:cs="宋体"/>
                <w:color w:val="auto"/>
              </w:rPr>
              <w:t>在图像上点击后拖动可移动图像的显示位置</w:t>
            </w:r>
          </w:p>
        </w:tc>
      </w:tr>
      <w:tr w14:paraId="7864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573887E7">
            <w:pPr>
              <w:ind w:firstLine="360"/>
              <w:jc w:val="center"/>
              <w:rPr>
                <w:rFonts w:hint="eastAsia" w:ascii="宋体" w:hAnsi="宋体" w:cs="宋体"/>
                <w:color w:val="auto"/>
              </w:rPr>
            </w:pPr>
          </w:p>
        </w:tc>
        <w:tc>
          <w:tcPr>
            <w:tcW w:w="1748" w:type="dxa"/>
            <w:vMerge w:val="continue"/>
            <w:vAlign w:val="center"/>
          </w:tcPr>
          <w:p w14:paraId="2EC27C51">
            <w:pPr>
              <w:ind w:firstLine="360"/>
              <w:jc w:val="center"/>
              <w:rPr>
                <w:rFonts w:hint="eastAsia" w:ascii="宋体" w:hAnsi="宋体" w:cs="宋体"/>
                <w:color w:val="auto"/>
              </w:rPr>
            </w:pPr>
          </w:p>
        </w:tc>
        <w:tc>
          <w:tcPr>
            <w:tcW w:w="1625" w:type="dxa"/>
            <w:vAlign w:val="center"/>
          </w:tcPr>
          <w:p w14:paraId="7627E944">
            <w:pPr>
              <w:rPr>
                <w:rFonts w:hint="eastAsia" w:ascii="宋体" w:hAnsi="宋体" w:cs="宋体"/>
                <w:color w:val="auto"/>
              </w:rPr>
            </w:pPr>
            <w:r>
              <w:rPr>
                <w:rFonts w:hint="eastAsia" w:ascii="宋体" w:hAnsi="宋体" w:cs="宋体"/>
                <w:color w:val="auto"/>
              </w:rPr>
              <w:t>放大镜</w:t>
            </w:r>
          </w:p>
        </w:tc>
        <w:tc>
          <w:tcPr>
            <w:tcW w:w="4534" w:type="dxa"/>
            <w:vAlign w:val="center"/>
          </w:tcPr>
          <w:p w14:paraId="742CDE98">
            <w:pPr>
              <w:rPr>
                <w:rFonts w:hint="eastAsia" w:ascii="宋体" w:hAnsi="宋体" w:cs="宋体"/>
                <w:color w:val="auto"/>
              </w:rPr>
            </w:pPr>
            <w:r>
              <w:rPr>
                <w:rFonts w:hint="eastAsia" w:ascii="宋体" w:hAnsi="宋体" w:cs="宋体"/>
                <w:color w:val="auto"/>
              </w:rPr>
              <w:t>对指定位置进行局部放大</w:t>
            </w:r>
          </w:p>
        </w:tc>
      </w:tr>
      <w:tr w14:paraId="0B42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3EF7A34B">
            <w:pPr>
              <w:ind w:firstLine="360"/>
              <w:jc w:val="center"/>
              <w:rPr>
                <w:rFonts w:hint="eastAsia" w:ascii="宋体" w:hAnsi="宋体" w:cs="宋体"/>
                <w:color w:val="auto"/>
              </w:rPr>
            </w:pPr>
          </w:p>
        </w:tc>
        <w:tc>
          <w:tcPr>
            <w:tcW w:w="1748" w:type="dxa"/>
            <w:vMerge w:val="continue"/>
            <w:vAlign w:val="center"/>
          </w:tcPr>
          <w:p w14:paraId="3D404A7D">
            <w:pPr>
              <w:ind w:firstLine="360"/>
              <w:jc w:val="center"/>
              <w:rPr>
                <w:rFonts w:hint="eastAsia" w:ascii="宋体" w:hAnsi="宋体" w:cs="宋体"/>
                <w:color w:val="auto"/>
              </w:rPr>
            </w:pPr>
          </w:p>
        </w:tc>
        <w:tc>
          <w:tcPr>
            <w:tcW w:w="1625" w:type="dxa"/>
            <w:vAlign w:val="center"/>
          </w:tcPr>
          <w:p w14:paraId="667679DF">
            <w:pPr>
              <w:rPr>
                <w:rFonts w:hint="eastAsia" w:ascii="宋体" w:hAnsi="宋体" w:cs="宋体"/>
                <w:color w:val="auto"/>
              </w:rPr>
            </w:pPr>
            <w:r>
              <w:rPr>
                <w:rFonts w:hint="eastAsia" w:ascii="宋体" w:hAnsi="宋体" w:cs="宋体"/>
                <w:color w:val="auto"/>
              </w:rPr>
              <w:t>缩小</w:t>
            </w:r>
          </w:p>
        </w:tc>
        <w:tc>
          <w:tcPr>
            <w:tcW w:w="4534" w:type="dxa"/>
            <w:vAlign w:val="center"/>
          </w:tcPr>
          <w:p w14:paraId="6A2E3F65">
            <w:pPr>
              <w:rPr>
                <w:rFonts w:hint="eastAsia" w:ascii="宋体" w:hAnsi="宋体" w:cs="宋体"/>
                <w:color w:val="auto"/>
              </w:rPr>
            </w:pPr>
            <w:r>
              <w:rPr>
                <w:rFonts w:hint="eastAsia" w:ascii="宋体" w:hAnsi="宋体" w:cs="宋体"/>
                <w:color w:val="auto"/>
              </w:rPr>
              <w:t>对图像整体逐级缩小</w:t>
            </w:r>
          </w:p>
        </w:tc>
      </w:tr>
      <w:tr w14:paraId="7399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20D686F3">
            <w:pPr>
              <w:ind w:firstLine="360"/>
              <w:jc w:val="center"/>
              <w:rPr>
                <w:rFonts w:hint="eastAsia" w:ascii="宋体" w:hAnsi="宋体" w:cs="宋体"/>
                <w:color w:val="auto"/>
              </w:rPr>
            </w:pPr>
          </w:p>
        </w:tc>
        <w:tc>
          <w:tcPr>
            <w:tcW w:w="1748" w:type="dxa"/>
            <w:vMerge w:val="continue"/>
            <w:vAlign w:val="center"/>
          </w:tcPr>
          <w:p w14:paraId="6103DBDC">
            <w:pPr>
              <w:ind w:firstLine="360"/>
              <w:jc w:val="center"/>
              <w:rPr>
                <w:rFonts w:hint="eastAsia" w:ascii="宋体" w:hAnsi="宋体" w:cs="宋体"/>
                <w:color w:val="auto"/>
              </w:rPr>
            </w:pPr>
          </w:p>
        </w:tc>
        <w:tc>
          <w:tcPr>
            <w:tcW w:w="1625" w:type="dxa"/>
            <w:vAlign w:val="center"/>
          </w:tcPr>
          <w:p w14:paraId="6C1680FA">
            <w:pPr>
              <w:rPr>
                <w:rFonts w:hint="eastAsia" w:ascii="宋体" w:hAnsi="宋体" w:cs="宋体"/>
                <w:color w:val="auto"/>
              </w:rPr>
            </w:pPr>
            <w:r>
              <w:rPr>
                <w:rFonts w:hint="eastAsia" w:ascii="宋体" w:hAnsi="宋体" w:cs="宋体"/>
                <w:color w:val="auto"/>
              </w:rPr>
              <w:t>局域调窗</w:t>
            </w:r>
          </w:p>
        </w:tc>
        <w:tc>
          <w:tcPr>
            <w:tcW w:w="4534" w:type="dxa"/>
            <w:vAlign w:val="center"/>
          </w:tcPr>
          <w:p w14:paraId="365EF2E7">
            <w:pPr>
              <w:rPr>
                <w:rFonts w:hint="eastAsia" w:ascii="宋体" w:hAnsi="宋体" w:cs="宋体"/>
                <w:color w:val="auto"/>
              </w:rPr>
            </w:pPr>
            <w:r>
              <w:rPr>
                <w:rFonts w:hint="eastAsia" w:ascii="宋体" w:hAnsi="宋体" w:cs="宋体"/>
                <w:color w:val="auto"/>
              </w:rPr>
              <w:t>从图像中选择一个图像区域，圈定该区域以进行进一步调节窗宽窗位</w:t>
            </w:r>
          </w:p>
        </w:tc>
      </w:tr>
      <w:tr w14:paraId="570F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5D1D2E99">
            <w:pPr>
              <w:ind w:firstLine="360"/>
              <w:jc w:val="center"/>
              <w:rPr>
                <w:rFonts w:hint="eastAsia" w:ascii="宋体" w:hAnsi="宋体" w:cs="宋体"/>
                <w:color w:val="auto"/>
              </w:rPr>
            </w:pPr>
          </w:p>
        </w:tc>
        <w:tc>
          <w:tcPr>
            <w:tcW w:w="1748" w:type="dxa"/>
            <w:vMerge w:val="continue"/>
            <w:vAlign w:val="center"/>
          </w:tcPr>
          <w:p w14:paraId="439183B7">
            <w:pPr>
              <w:ind w:firstLine="360"/>
              <w:jc w:val="center"/>
              <w:rPr>
                <w:rFonts w:hint="eastAsia" w:ascii="宋体" w:hAnsi="宋体" w:cs="宋体"/>
                <w:color w:val="auto"/>
              </w:rPr>
            </w:pPr>
          </w:p>
        </w:tc>
        <w:tc>
          <w:tcPr>
            <w:tcW w:w="1625" w:type="dxa"/>
            <w:vAlign w:val="center"/>
          </w:tcPr>
          <w:p w14:paraId="4076DF0B">
            <w:pPr>
              <w:rPr>
                <w:rFonts w:hint="eastAsia" w:ascii="宋体" w:hAnsi="宋体" w:cs="宋体"/>
                <w:color w:val="auto"/>
              </w:rPr>
            </w:pPr>
            <w:r>
              <w:rPr>
                <w:rFonts w:hint="eastAsia" w:ascii="宋体" w:hAnsi="宋体" w:cs="宋体"/>
                <w:color w:val="auto"/>
              </w:rPr>
              <w:t>适应窗口</w:t>
            </w:r>
          </w:p>
        </w:tc>
        <w:tc>
          <w:tcPr>
            <w:tcW w:w="4534" w:type="dxa"/>
            <w:vAlign w:val="center"/>
          </w:tcPr>
          <w:p w14:paraId="2B57817D">
            <w:pPr>
              <w:rPr>
                <w:rFonts w:hint="eastAsia" w:ascii="宋体" w:hAnsi="宋体" w:cs="宋体"/>
                <w:color w:val="auto"/>
              </w:rPr>
            </w:pPr>
            <w:r>
              <w:rPr>
                <w:rFonts w:hint="eastAsia" w:ascii="宋体" w:hAnsi="宋体" w:cs="宋体"/>
                <w:color w:val="auto"/>
              </w:rPr>
              <w:t>调节图像大小以适应窗口大小</w:t>
            </w:r>
          </w:p>
        </w:tc>
      </w:tr>
      <w:tr w14:paraId="5B65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03D8D2DF">
            <w:pPr>
              <w:ind w:firstLine="360"/>
              <w:jc w:val="center"/>
              <w:rPr>
                <w:rFonts w:hint="eastAsia" w:ascii="宋体" w:hAnsi="宋体" w:cs="宋体"/>
                <w:color w:val="auto"/>
              </w:rPr>
            </w:pPr>
          </w:p>
        </w:tc>
        <w:tc>
          <w:tcPr>
            <w:tcW w:w="1748" w:type="dxa"/>
            <w:vMerge w:val="continue"/>
            <w:vAlign w:val="center"/>
          </w:tcPr>
          <w:p w14:paraId="301E5622">
            <w:pPr>
              <w:ind w:firstLine="360"/>
              <w:jc w:val="center"/>
              <w:rPr>
                <w:rFonts w:hint="eastAsia" w:ascii="宋体" w:hAnsi="宋体" w:cs="宋体"/>
                <w:color w:val="auto"/>
              </w:rPr>
            </w:pPr>
          </w:p>
        </w:tc>
        <w:tc>
          <w:tcPr>
            <w:tcW w:w="1625" w:type="dxa"/>
            <w:vAlign w:val="center"/>
          </w:tcPr>
          <w:p w14:paraId="16DB14C5">
            <w:pPr>
              <w:rPr>
                <w:rFonts w:hint="eastAsia" w:ascii="宋体" w:hAnsi="宋体" w:cs="宋体"/>
                <w:color w:val="auto"/>
              </w:rPr>
            </w:pPr>
            <w:r>
              <w:rPr>
                <w:rFonts w:hint="eastAsia" w:ascii="宋体" w:hAnsi="宋体" w:cs="宋体"/>
                <w:color w:val="auto"/>
              </w:rPr>
              <w:t>垂直镜像</w:t>
            </w:r>
          </w:p>
        </w:tc>
        <w:tc>
          <w:tcPr>
            <w:tcW w:w="4534" w:type="dxa"/>
            <w:vAlign w:val="center"/>
          </w:tcPr>
          <w:p w14:paraId="6DB888CE">
            <w:pPr>
              <w:rPr>
                <w:rFonts w:hint="eastAsia" w:ascii="宋体" w:hAnsi="宋体" w:cs="宋体"/>
                <w:color w:val="auto"/>
              </w:rPr>
            </w:pPr>
            <w:r>
              <w:rPr>
                <w:rFonts w:hint="eastAsia" w:ascii="宋体" w:hAnsi="宋体" w:cs="宋体"/>
                <w:color w:val="auto"/>
              </w:rPr>
              <w:t>可对图像进行翻转操作，可对图像进行垂直180度翻转操作</w:t>
            </w:r>
          </w:p>
        </w:tc>
      </w:tr>
      <w:tr w14:paraId="0581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Merge w:val="continue"/>
            <w:vAlign w:val="center"/>
          </w:tcPr>
          <w:p w14:paraId="5363CA6B">
            <w:pPr>
              <w:ind w:firstLine="360"/>
              <w:jc w:val="center"/>
              <w:rPr>
                <w:rFonts w:hint="eastAsia" w:ascii="宋体" w:hAnsi="宋体" w:cs="宋体"/>
                <w:color w:val="auto"/>
              </w:rPr>
            </w:pPr>
          </w:p>
        </w:tc>
        <w:tc>
          <w:tcPr>
            <w:tcW w:w="1748" w:type="dxa"/>
            <w:vMerge w:val="continue"/>
            <w:vAlign w:val="center"/>
          </w:tcPr>
          <w:p w14:paraId="36595485">
            <w:pPr>
              <w:ind w:firstLine="360"/>
              <w:jc w:val="center"/>
              <w:rPr>
                <w:rFonts w:hint="eastAsia" w:ascii="宋体" w:hAnsi="宋体" w:cs="宋体"/>
                <w:color w:val="auto"/>
              </w:rPr>
            </w:pPr>
          </w:p>
        </w:tc>
        <w:tc>
          <w:tcPr>
            <w:tcW w:w="1625" w:type="dxa"/>
            <w:vAlign w:val="center"/>
          </w:tcPr>
          <w:p w14:paraId="1C0C5081">
            <w:pPr>
              <w:rPr>
                <w:rFonts w:hint="eastAsia" w:ascii="宋体" w:hAnsi="宋体" w:cs="宋体"/>
                <w:color w:val="auto"/>
              </w:rPr>
            </w:pPr>
            <w:r>
              <w:rPr>
                <w:rFonts w:hint="eastAsia" w:ascii="宋体" w:hAnsi="宋体" w:cs="宋体"/>
                <w:color w:val="auto"/>
              </w:rPr>
              <w:t>逆时针旋转</w:t>
            </w:r>
          </w:p>
        </w:tc>
        <w:tc>
          <w:tcPr>
            <w:tcW w:w="4534" w:type="dxa"/>
            <w:vAlign w:val="center"/>
          </w:tcPr>
          <w:p w14:paraId="1F7924B4">
            <w:pPr>
              <w:rPr>
                <w:rFonts w:hint="eastAsia" w:ascii="宋体" w:hAnsi="宋体" w:cs="宋体"/>
                <w:color w:val="auto"/>
              </w:rPr>
            </w:pPr>
            <w:r>
              <w:rPr>
                <w:rFonts w:hint="eastAsia" w:ascii="宋体" w:hAnsi="宋体" w:cs="宋体"/>
                <w:color w:val="auto"/>
              </w:rPr>
              <w:t>对图像进行旋转操作，可对图像进行逆时针旋转90度操作</w:t>
            </w:r>
          </w:p>
        </w:tc>
      </w:tr>
      <w:tr w14:paraId="3A62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Align w:val="center"/>
          </w:tcPr>
          <w:p w14:paraId="622C2424">
            <w:pPr>
              <w:rPr>
                <w:rFonts w:hint="eastAsia" w:ascii="宋体" w:hAnsi="宋体" w:cs="宋体"/>
                <w:color w:val="auto"/>
              </w:rPr>
            </w:pPr>
            <w:r>
              <w:rPr>
                <w:rFonts w:hint="eastAsia" w:ascii="宋体" w:hAnsi="宋体" w:cs="宋体"/>
                <w:color w:val="auto"/>
              </w:rPr>
              <w:t>5</w:t>
            </w:r>
          </w:p>
        </w:tc>
        <w:tc>
          <w:tcPr>
            <w:tcW w:w="3373" w:type="dxa"/>
            <w:gridSpan w:val="2"/>
            <w:vAlign w:val="center"/>
          </w:tcPr>
          <w:p w14:paraId="52735EC1">
            <w:pPr>
              <w:rPr>
                <w:rFonts w:hint="eastAsia" w:ascii="宋体" w:hAnsi="宋体" w:cs="宋体"/>
                <w:color w:val="auto"/>
              </w:rPr>
            </w:pPr>
            <w:r>
              <w:rPr>
                <w:rFonts w:hint="eastAsia" w:ascii="宋体" w:hAnsi="宋体" w:cs="宋体"/>
                <w:color w:val="auto"/>
              </w:rPr>
              <w:t>设备对接</w:t>
            </w:r>
          </w:p>
        </w:tc>
        <w:tc>
          <w:tcPr>
            <w:tcW w:w="4534" w:type="dxa"/>
            <w:vAlign w:val="center"/>
          </w:tcPr>
          <w:p w14:paraId="2F06FE9C">
            <w:pPr>
              <w:rPr>
                <w:rFonts w:hint="eastAsia" w:ascii="宋体" w:hAnsi="宋体" w:cs="宋体"/>
                <w:color w:val="auto"/>
              </w:rPr>
            </w:pPr>
            <w:r>
              <w:rPr>
                <w:rFonts w:hint="eastAsia" w:ascii="宋体" w:hAnsi="宋体" w:cs="宋体"/>
                <w:color w:val="auto"/>
              </w:rPr>
              <w:t>系统需要完成目前眼科检查设备对接，实现影像数据互通。</w:t>
            </w:r>
          </w:p>
        </w:tc>
      </w:tr>
      <w:tr w14:paraId="3B5D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8" w:type="dxa"/>
            <w:vAlign w:val="center"/>
          </w:tcPr>
          <w:p w14:paraId="6FFFF239">
            <w:pPr>
              <w:rPr>
                <w:rFonts w:hint="eastAsia" w:ascii="宋体" w:hAnsi="宋体" w:cs="宋体"/>
                <w:color w:val="auto"/>
              </w:rPr>
            </w:pPr>
            <w:r>
              <w:rPr>
                <w:rFonts w:hint="eastAsia" w:ascii="宋体" w:hAnsi="宋体" w:cs="宋体"/>
                <w:color w:val="auto"/>
              </w:rPr>
              <w:t>6</w:t>
            </w:r>
          </w:p>
        </w:tc>
        <w:tc>
          <w:tcPr>
            <w:tcW w:w="3373" w:type="dxa"/>
            <w:gridSpan w:val="2"/>
            <w:vAlign w:val="center"/>
          </w:tcPr>
          <w:p w14:paraId="48FC79DB">
            <w:pPr>
              <w:rPr>
                <w:rFonts w:hint="eastAsia" w:ascii="宋体" w:hAnsi="宋体" w:cs="宋体"/>
                <w:color w:val="auto"/>
              </w:rPr>
            </w:pPr>
            <w:r>
              <w:rPr>
                <w:rFonts w:hint="eastAsia" w:ascii="宋体" w:hAnsi="宋体" w:cs="宋体"/>
                <w:color w:val="auto"/>
              </w:rPr>
              <w:t>开放接口</w:t>
            </w:r>
          </w:p>
        </w:tc>
        <w:tc>
          <w:tcPr>
            <w:tcW w:w="4534" w:type="dxa"/>
            <w:vAlign w:val="center"/>
          </w:tcPr>
          <w:p w14:paraId="18DB97DC">
            <w:pPr>
              <w:rPr>
                <w:rFonts w:hint="eastAsia" w:ascii="宋体" w:hAnsi="宋体" w:cs="宋体"/>
                <w:color w:val="auto"/>
              </w:rPr>
            </w:pPr>
            <w:r>
              <w:rPr>
                <w:rFonts w:hint="eastAsia" w:ascii="宋体" w:hAnsi="宋体" w:cs="宋体"/>
                <w:color w:val="auto"/>
              </w:rPr>
              <w:t>提供接口供HIS、电子病历系统应用平台调用，便于访问眼科采集的影像数据</w:t>
            </w:r>
          </w:p>
        </w:tc>
      </w:tr>
    </w:tbl>
    <w:p w14:paraId="0E6FA36D">
      <w:pPr>
        <w:pStyle w:val="48"/>
        <w:ind w:firstLine="260"/>
        <w:rPr>
          <w:rFonts w:hint="eastAsia"/>
          <w:color w:val="auto"/>
        </w:rPr>
      </w:pPr>
      <w:r>
        <w:rPr>
          <w:color w:val="auto"/>
        </w:rPr>
        <w:t>接口</w:t>
      </w:r>
    </w:p>
    <w:tbl>
      <w:tblPr>
        <w:tblStyle w:val="19"/>
        <w:tblW w:w="8300"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1460"/>
        <w:gridCol w:w="6299"/>
      </w:tblGrid>
      <w:tr w14:paraId="595B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541" w:type="dxa"/>
            <w:vAlign w:val="center"/>
          </w:tcPr>
          <w:p w14:paraId="6BDD5679">
            <w:pPr>
              <w:jc w:val="center"/>
              <w:rPr>
                <w:rFonts w:hint="eastAsia" w:ascii="宋体" w:hAnsi="宋体" w:cs="宋体"/>
                <w:color w:val="auto"/>
              </w:rPr>
            </w:pPr>
            <w:r>
              <w:rPr>
                <w:rFonts w:hint="eastAsia" w:ascii="宋体" w:hAnsi="宋体" w:cs="宋体"/>
                <w:color w:val="auto"/>
                <w:lang w:bidi="ne-NP"/>
              </w:rPr>
              <w:t>序号</w:t>
            </w:r>
          </w:p>
        </w:tc>
        <w:tc>
          <w:tcPr>
            <w:tcW w:w="1460" w:type="dxa"/>
            <w:vAlign w:val="center"/>
          </w:tcPr>
          <w:p w14:paraId="254B63E8">
            <w:pPr>
              <w:jc w:val="center"/>
              <w:rPr>
                <w:rFonts w:hint="eastAsia" w:ascii="宋体" w:hAnsi="宋体" w:cs="宋体"/>
                <w:color w:val="auto"/>
              </w:rPr>
            </w:pPr>
            <w:r>
              <w:rPr>
                <w:rFonts w:hint="eastAsia" w:ascii="宋体" w:hAnsi="宋体" w:cs="宋体"/>
                <w:color w:val="auto"/>
                <w:lang w:bidi="ne-NP"/>
              </w:rPr>
              <w:t>功能/性能</w:t>
            </w:r>
          </w:p>
        </w:tc>
        <w:tc>
          <w:tcPr>
            <w:tcW w:w="6299" w:type="dxa"/>
            <w:vAlign w:val="center"/>
          </w:tcPr>
          <w:p w14:paraId="5844902D">
            <w:pPr>
              <w:jc w:val="center"/>
              <w:rPr>
                <w:rFonts w:hint="eastAsia" w:ascii="宋体" w:hAnsi="宋体" w:cs="宋体"/>
                <w:color w:val="auto"/>
                <w:lang w:bidi="ne-NP"/>
              </w:rPr>
            </w:pPr>
            <w:r>
              <w:rPr>
                <w:rFonts w:hint="eastAsia" w:ascii="宋体" w:hAnsi="宋体" w:cs="宋体"/>
                <w:color w:val="auto"/>
                <w:lang w:bidi="ne-NP"/>
              </w:rPr>
              <w:t>具体要求</w:t>
            </w:r>
          </w:p>
        </w:tc>
      </w:tr>
      <w:tr w14:paraId="0211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541" w:type="dxa"/>
            <w:vMerge w:val="restart"/>
            <w:vAlign w:val="center"/>
          </w:tcPr>
          <w:p w14:paraId="34BF386E">
            <w:pPr>
              <w:rPr>
                <w:rFonts w:hint="eastAsia" w:ascii="宋体" w:hAnsi="宋体" w:cs="宋体"/>
                <w:color w:val="auto"/>
              </w:rPr>
            </w:pPr>
            <w:r>
              <w:rPr>
                <w:rFonts w:hint="eastAsia" w:ascii="宋体" w:hAnsi="宋体" w:cs="宋体"/>
                <w:color w:val="auto"/>
              </w:rPr>
              <w:t>1</w:t>
            </w:r>
          </w:p>
        </w:tc>
        <w:tc>
          <w:tcPr>
            <w:tcW w:w="1460" w:type="dxa"/>
            <w:vMerge w:val="restart"/>
            <w:vAlign w:val="center"/>
          </w:tcPr>
          <w:p w14:paraId="26E4AFD3">
            <w:pPr>
              <w:rPr>
                <w:rFonts w:hint="eastAsia" w:ascii="宋体" w:hAnsi="宋体" w:cs="宋体"/>
                <w:color w:val="auto"/>
              </w:rPr>
            </w:pPr>
            <w:r>
              <w:rPr>
                <w:rFonts w:hint="eastAsia" w:ascii="宋体" w:hAnsi="宋体" w:cs="宋体"/>
                <w:color w:val="auto"/>
              </w:rPr>
              <w:t>系统接口</w:t>
            </w:r>
          </w:p>
        </w:tc>
        <w:tc>
          <w:tcPr>
            <w:tcW w:w="6299" w:type="dxa"/>
            <w:vAlign w:val="center"/>
          </w:tcPr>
          <w:p w14:paraId="2E39FFA7">
            <w:pPr>
              <w:widowControl/>
              <w:rPr>
                <w:rFonts w:hint="eastAsia" w:ascii="宋体" w:hAnsi="宋体" w:cs="宋体"/>
                <w:color w:val="auto"/>
              </w:rPr>
            </w:pPr>
            <w:r>
              <w:rPr>
                <w:rFonts w:hint="eastAsia" w:ascii="宋体" w:hAnsi="宋体" w:cs="宋体"/>
                <w:color w:val="auto"/>
              </w:rPr>
              <w:t>实现与HIS等医院现有系统或集成平台进行数据互联互通。</w:t>
            </w:r>
          </w:p>
        </w:tc>
      </w:tr>
      <w:tr w14:paraId="6B85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41" w:type="dxa"/>
            <w:vMerge w:val="continue"/>
            <w:vAlign w:val="center"/>
          </w:tcPr>
          <w:p w14:paraId="75703E13">
            <w:pPr>
              <w:ind w:firstLine="360"/>
              <w:jc w:val="center"/>
              <w:rPr>
                <w:rFonts w:hint="eastAsia" w:ascii="宋体" w:hAnsi="宋体" w:cs="宋体"/>
                <w:color w:val="auto"/>
              </w:rPr>
            </w:pPr>
          </w:p>
        </w:tc>
        <w:tc>
          <w:tcPr>
            <w:tcW w:w="1460" w:type="dxa"/>
            <w:vMerge w:val="continue"/>
            <w:vAlign w:val="center"/>
          </w:tcPr>
          <w:p w14:paraId="6E0A6506">
            <w:pPr>
              <w:ind w:firstLine="360"/>
              <w:jc w:val="center"/>
              <w:rPr>
                <w:rFonts w:hint="eastAsia" w:ascii="宋体" w:hAnsi="宋体" w:cs="宋体"/>
                <w:color w:val="auto"/>
              </w:rPr>
            </w:pPr>
          </w:p>
        </w:tc>
        <w:tc>
          <w:tcPr>
            <w:tcW w:w="6299" w:type="dxa"/>
            <w:vAlign w:val="center"/>
          </w:tcPr>
          <w:p w14:paraId="1FD28D58">
            <w:pPr>
              <w:widowControl/>
              <w:rPr>
                <w:rFonts w:hint="eastAsia" w:ascii="宋体" w:hAnsi="宋体" w:cs="宋体"/>
                <w:color w:val="auto"/>
              </w:rPr>
            </w:pPr>
            <w:r>
              <w:rPr>
                <w:rFonts w:hint="eastAsia" w:ascii="宋体" w:hAnsi="宋体" w:cs="宋体"/>
                <w:color w:val="auto"/>
              </w:rPr>
              <w:t>提供标准接口，便于其他系统调用眼科检查系统采集的影像和报告数据</w:t>
            </w:r>
          </w:p>
        </w:tc>
      </w:tr>
    </w:tbl>
    <w:p w14:paraId="6F363557">
      <w:pPr>
        <w:ind w:firstLine="560"/>
        <w:rPr>
          <w:rFonts w:hint="eastAsia" w:ascii="仿宋_GB2312" w:hAnsi="仿宋_GB2312" w:cs="仿宋_GB2312"/>
          <w:color w:val="auto"/>
          <w:sz w:val="28"/>
          <w:szCs w:val="28"/>
        </w:rPr>
      </w:pPr>
    </w:p>
    <w:p w14:paraId="0DA92F3D">
      <w:pPr>
        <w:pStyle w:val="3"/>
        <w:rPr>
          <w:rFonts w:hint="eastAsia"/>
          <w:color w:val="auto"/>
        </w:rPr>
      </w:pPr>
      <w:r>
        <w:rPr>
          <w:rFonts w:hint="eastAsia"/>
          <w:color w:val="auto"/>
        </w:rPr>
        <w:t xml:space="preserve"> 资源配置要求</w:t>
      </w:r>
    </w:p>
    <w:p w14:paraId="2E85E88A">
      <w:pPr>
        <w:ind w:firstLine="480" w:firstLineChars="200"/>
        <w:rPr>
          <w:color w:val="auto"/>
        </w:rPr>
      </w:pPr>
      <w:r>
        <w:rPr>
          <w:rFonts w:hint="eastAsia"/>
          <w:color w:val="auto"/>
        </w:rPr>
        <w:t>供应商应结合自身产品架构及项目实际使用需求，向采购人提供本项目实施所需计算资源、存储资源、操作系统。在本项目运维服务周期内，若出现计算、存储等系统资源不足，无法满足业务正常运行的，供应商须无偿对系统资源进行补充、扩容扩展，上述全部相关费用已包含在本项目总报价中，采购人无需另行支付任何费用。</w:t>
      </w:r>
    </w:p>
    <w:p w14:paraId="6236C482">
      <w:pPr>
        <w:pStyle w:val="3"/>
        <w:rPr>
          <w:rFonts w:hint="eastAsia"/>
          <w:color w:val="auto"/>
        </w:rPr>
      </w:pPr>
      <w:r>
        <w:rPr>
          <w:rFonts w:hint="eastAsia"/>
          <w:color w:val="auto"/>
        </w:rPr>
        <w:t xml:space="preserve"> 其他</w:t>
      </w:r>
    </w:p>
    <w:p w14:paraId="6A1D88EA">
      <w:pPr>
        <w:ind w:firstLine="480" w:firstLineChars="200"/>
        <w:rPr>
          <w:color w:val="auto"/>
        </w:rPr>
      </w:pPr>
      <w:r>
        <w:rPr>
          <w:rFonts w:hint="eastAsia"/>
          <w:color w:val="auto"/>
        </w:rPr>
        <w:t>实现医院现有设备接入医院眼科系统，验收合格之日起的3年内免费接入医院新增医疗设备。</w:t>
      </w:r>
    </w:p>
    <w:p w14:paraId="0A1A631C">
      <w:pPr>
        <w:ind w:firstLine="480" w:firstLineChars="200"/>
        <w:rPr>
          <w:color w:val="auto"/>
        </w:rPr>
      </w:pPr>
      <w:r>
        <w:rPr>
          <w:rFonts w:hint="eastAsia"/>
          <w:color w:val="auto"/>
        </w:rPr>
        <w:t>接入系统设备清单（包括但不限于以下设备）：</w:t>
      </w:r>
    </w:p>
    <w:tbl>
      <w:tblPr>
        <w:tblStyle w:val="19"/>
        <w:tblW w:w="8784" w:type="dxa"/>
        <w:tblInd w:w="0" w:type="dxa"/>
        <w:tblLayout w:type="fixed"/>
        <w:tblCellMar>
          <w:top w:w="0" w:type="dxa"/>
          <w:left w:w="108" w:type="dxa"/>
          <w:bottom w:w="0" w:type="dxa"/>
          <w:right w:w="108" w:type="dxa"/>
        </w:tblCellMar>
      </w:tblPr>
      <w:tblGrid>
        <w:gridCol w:w="3052"/>
        <w:gridCol w:w="2060"/>
        <w:gridCol w:w="2463"/>
        <w:gridCol w:w="1209"/>
      </w:tblGrid>
      <w:tr w14:paraId="53BEBA99">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vAlign w:val="bottom"/>
          </w:tcPr>
          <w:p w14:paraId="3158E471">
            <w:pPr>
              <w:widowControl/>
              <w:jc w:val="center"/>
              <w:rPr>
                <w:rFonts w:hint="eastAsia" w:ascii="宋体" w:hAnsi="宋体" w:cs="宋体"/>
                <w:b/>
                <w:bCs/>
                <w:color w:val="auto"/>
                <w:kern w:val="0"/>
              </w:rPr>
            </w:pPr>
            <w:r>
              <w:rPr>
                <w:rFonts w:hint="eastAsia" w:ascii="宋体" w:hAnsi="宋体" w:cs="宋体"/>
                <w:b/>
                <w:bCs/>
                <w:color w:val="auto"/>
                <w:kern w:val="0"/>
              </w:rPr>
              <w:t>设备名称</w:t>
            </w:r>
          </w:p>
        </w:tc>
        <w:tc>
          <w:tcPr>
            <w:tcW w:w="2060" w:type="dxa"/>
            <w:tcBorders>
              <w:top w:val="single" w:color="auto" w:sz="4" w:space="0"/>
              <w:left w:val="nil"/>
              <w:bottom w:val="single" w:color="auto" w:sz="4" w:space="0"/>
              <w:right w:val="single" w:color="auto" w:sz="4" w:space="0"/>
            </w:tcBorders>
            <w:vAlign w:val="bottom"/>
          </w:tcPr>
          <w:p w14:paraId="3A409087">
            <w:pPr>
              <w:widowControl/>
              <w:jc w:val="center"/>
              <w:rPr>
                <w:rFonts w:hint="eastAsia" w:ascii="宋体" w:hAnsi="宋体" w:cs="宋体"/>
                <w:b/>
                <w:bCs/>
                <w:color w:val="auto"/>
                <w:kern w:val="0"/>
              </w:rPr>
            </w:pPr>
            <w:r>
              <w:rPr>
                <w:rFonts w:hint="eastAsia" w:ascii="宋体" w:hAnsi="宋体" w:cs="宋体"/>
                <w:b/>
                <w:bCs/>
                <w:color w:val="auto"/>
                <w:kern w:val="0"/>
              </w:rPr>
              <w:t>型号</w:t>
            </w:r>
          </w:p>
        </w:tc>
        <w:tc>
          <w:tcPr>
            <w:tcW w:w="2463" w:type="dxa"/>
            <w:tcBorders>
              <w:top w:val="single" w:color="auto" w:sz="4" w:space="0"/>
              <w:left w:val="nil"/>
              <w:bottom w:val="single" w:color="auto" w:sz="4" w:space="0"/>
              <w:right w:val="single" w:color="auto" w:sz="4" w:space="0"/>
            </w:tcBorders>
            <w:vAlign w:val="bottom"/>
          </w:tcPr>
          <w:p w14:paraId="59F55DD6">
            <w:pPr>
              <w:widowControl/>
              <w:jc w:val="center"/>
              <w:rPr>
                <w:rFonts w:hint="eastAsia" w:ascii="宋体" w:hAnsi="宋体" w:cs="宋体"/>
                <w:b/>
                <w:bCs/>
                <w:color w:val="auto"/>
                <w:kern w:val="0"/>
              </w:rPr>
            </w:pPr>
            <w:r>
              <w:rPr>
                <w:rFonts w:hint="eastAsia" w:ascii="宋体" w:hAnsi="宋体" w:cs="宋体"/>
                <w:b/>
                <w:bCs/>
                <w:color w:val="auto"/>
                <w:kern w:val="0"/>
              </w:rPr>
              <w:t>生产厂家</w:t>
            </w:r>
          </w:p>
        </w:tc>
        <w:tc>
          <w:tcPr>
            <w:tcW w:w="1209" w:type="dxa"/>
            <w:tcBorders>
              <w:top w:val="single" w:color="auto" w:sz="4" w:space="0"/>
              <w:left w:val="nil"/>
              <w:bottom w:val="single" w:color="auto" w:sz="4" w:space="0"/>
              <w:right w:val="single" w:color="auto" w:sz="4" w:space="0"/>
            </w:tcBorders>
            <w:vAlign w:val="bottom"/>
          </w:tcPr>
          <w:p w14:paraId="351DCFEE">
            <w:pPr>
              <w:widowControl/>
              <w:jc w:val="center"/>
              <w:rPr>
                <w:rFonts w:hint="eastAsia" w:ascii="宋体" w:hAnsi="宋体" w:cs="宋体"/>
                <w:b/>
                <w:bCs/>
                <w:color w:val="auto"/>
                <w:kern w:val="0"/>
              </w:rPr>
            </w:pPr>
            <w:r>
              <w:rPr>
                <w:rFonts w:hint="eastAsia" w:ascii="宋体" w:hAnsi="宋体" w:cs="宋体"/>
                <w:b/>
                <w:bCs/>
                <w:color w:val="auto"/>
                <w:kern w:val="0"/>
              </w:rPr>
              <w:t>数量</w:t>
            </w:r>
          </w:p>
        </w:tc>
      </w:tr>
      <w:tr w14:paraId="0871B32D">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570950F4">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超声生物显微镜（UBM）</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1B738486">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SW-3200L</w:t>
            </w:r>
          </w:p>
        </w:tc>
        <w:tc>
          <w:tcPr>
            <w:tcW w:w="2463" w:type="dxa"/>
            <w:tcBorders>
              <w:top w:val="single" w:color="auto" w:sz="4" w:space="0"/>
              <w:left w:val="single" w:color="auto" w:sz="4" w:space="0"/>
              <w:bottom w:val="single" w:color="auto" w:sz="4" w:space="0"/>
              <w:right w:val="single" w:color="auto" w:sz="4" w:space="0"/>
            </w:tcBorders>
            <w:shd w:val="clear"/>
            <w:vAlign w:val="center"/>
          </w:tcPr>
          <w:p w14:paraId="39AFC107">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索维电子</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268CF3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5B68BC8F">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0CF38591">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激光扫描检眼镜（超广角激光扫描检眼镜FFA）</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7557B256">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Daytona(P200T)</w:t>
            </w:r>
          </w:p>
        </w:tc>
        <w:tc>
          <w:tcPr>
            <w:tcW w:w="2463" w:type="dxa"/>
            <w:tcBorders>
              <w:top w:val="single" w:color="auto" w:sz="4" w:space="0"/>
              <w:left w:val="single" w:color="auto" w:sz="4" w:space="0"/>
              <w:bottom w:val="single" w:color="auto" w:sz="4" w:space="0"/>
              <w:right w:val="single" w:color="auto" w:sz="4" w:space="0"/>
            </w:tcBorders>
            <w:shd w:val="clear"/>
            <w:vAlign w:val="center"/>
          </w:tcPr>
          <w:p w14:paraId="406182F4">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OPTOS PLC 欧堡</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77E9B2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2</w:t>
            </w:r>
          </w:p>
        </w:tc>
      </w:tr>
      <w:tr w14:paraId="335AD36B">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5C169C7B">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激光眼科诊断仪（数字眼底照相机（广角，带荧光眼底造影及脉络膜造影））</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6A7DEF0D">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 xml:space="preserve">Spectralis </w:t>
            </w:r>
            <w:r>
              <w:rPr>
                <w:rFonts w:hint="eastAsia" w:ascii="宋体" w:hAnsi="宋体" w:eastAsia="宋体" w:cs="宋体"/>
                <w:i w:val="0"/>
                <w:iCs w:val="0"/>
                <w:color w:val="000000"/>
                <w:kern w:val="0"/>
                <w:sz w:val="20"/>
                <w:szCs w:val="20"/>
                <w:u w:val="none"/>
                <w:lang w:val="en-US" w:eastAsia="zh-CN" w:bidi="ar"/>
                <w14:ligatures w14:val="none"/>
              </w:rPr>
              <w:br w:type="textWrapping"/>
            </w:r>
            <w:r>
              <w:rPr>
                <w:rFonts w:hint="eastAsia" w:ascii="宋体" w:hAnsi="宋体" w:eastAsia="宋体" w:cs="宋体"/>
                <w:i w:val="0"/>
                <w:iCs w:val="0"/>
                <w:color w:val="000000"/>
                <w:kern w:val="0"/>
                <w:sz w:val="20"/>
                <w:szCs w:val="20"/>
                <w:u w:val="none"/>
                <w:lang w:val="en-US" w:eastAsia="zh-CN" w:bidi="ar"/>
                <w14:ligatures w14:val="none"/>
              </w:rPr>
              <w:t>HRA</w:t>
            </w:r>
          </w:p>
        </w:tc>
        <w:tc>
          <w:tcPr>
            <w:tcW w:w="2463" w:type="dxa"/>
            <w:tcBorders>
              <w:top w:val="single" w:color="auto" w:sz="4" w:space="0"/>
              <w:left w:val="single" w:color="auto" w:sz="4" w:space="0"/>
              <w:bottom w:val="single" w:color="auto" w:sz="4" w:space="0"/>
              <w:right w:val="single" w:color="auto" w:sz="4" w:space="0"/>
            </w:tcBorders>
            <w:shd w:val="clear"/>
            <w:vAlign w:val="center"/>
          </w:tcPr>
          <w:p w14:paraId="7C48B3CA">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德国海德堡</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0C2646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77AB1574">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3E6D7029">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眼科光学相干断层扫描仪（扫频OCT）</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0774A8E5">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 xml:space="preserve"> VG200I型 </w:t>
            </w:r>
          </w:p>
        </w:tc>
        <w:tc>
          <w:tcPr>
            <w:tcW w:w="2463" w:type="dxa"/>
            <w:tcBorders>
              <w:top w:val="single" w:color="auto" w:sz="4" w:space="0"/>
              <w:left w:val="single" w:color="auto" w:sz="4" w:space="0"/>
              <w:bottom w:val="single" w:color="auto" w:sz="4" w:space="0"/>
              <w:right w:val="single" w:color="auto" w:sz="4" w:space="0"/>
            </w:tcBorders>
            <w:shd w:val="clear"/>
            <w:vAlign w:val="bottom"/>
          </w:tcPr>
          <w:p w14:paraId="217FFE0F">
            <w:pPr>
              <w:keepNext w:val="0"/>
              <w:keepLines w:val="0"/>
              <w:widowControl/>
              <w:suppressLineNumbers w:val="0"/>
              <w:jc w:val="left"/>
              <w:textAlignment w:val="bottom"/>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视微影像</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464247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1A7BFE86">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7962FB6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光相干断层扫描仪（光学相干断层扫描仪（带血流成像））</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6553666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5000</w:t>
            </w:r>
          </w:p>
        </w:tc>
        <w:tc>
          <w:tcPr>
            <w:tcW w:w="2463" w:type="dxa"/>
            <w:tcBorders>
              <w:top w:val="single" w:color="auto" w:sz="4" w:space="0"/>
              <w:left w:val="single" w:color="auto" w:sz="4" w:space="0"/>
              <w:bottom w:val="single" w:color="auto" w:sz="4" w:space="0"/>
              <w:right w:val="single" w:color="auto" w:sz="4" w:space="0"/>
            </w:tcBorders>
            <w:shd w:val="clear"/>
            <w:vAlign w:val="center"/>
          </w:tcPr>
          <w:p w14:paraId="4B8D2C8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蔡司</w:t>
            </w:r>
          </w:p>
        </w:tc>
        <w:tc>
          <w:tcPr>
            <w:tcW w:w="1209" w:type="dxa"/>
            <w:tcBorders>
              <w:top w:val="single" w:color="auto" w:sz="4" w:space="0"/>
              <w:left w:val="single" w:color="auto" w:sz="4" w:space="0"/>
              <w:bottom w:val="single" w:color="auto" w:sz="4" w:space="0"/>
              <w:right w:val="single" w:color="auto" w:sz="4" w:space="0"/>
            </w:tcBorders>
            <w:shd w:val="clear"/>
            <w:vAlign w:val="center"/>
          </w:tcPr>
          <w:p w14:paraId="01F12097">
            <w:pPr>
              <w:keepNext w:val="0"/>
              <w:keepLines w:val="0"/>
              <w:widowControl/>
              <w:suppressLineNumbers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1</w:t>
            </w:r>
          </w:p>
        </w:tc>
      </w:tr>
      <w:tr w14:paraId="7B294D38">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21E020F8">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角膜内皮显微镜（角膜内皮细胞计）</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2E5D7CBF">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SP-1P</w:t>
            </w:r>
          </w:p>
        </w:tc>
        <w:tc>
          <w:tcPr>
            <w:tcW w:w="2463" w:type="dxa"/>
            <w:tcBorders>
              <w:top w:val="single" w:color="auto" w:sz="4" w:space="0"/>
              <w:left w:val="single" w:color="auto" w:sz="4" w:space="0"/>
              <w:bottom w:val="single" w:color="auto" w:sz="4" w:space="0"/>
              <w:right w:val="single" w:color="auto" w:sz="4" w:space="0"/>
            </w:tcBorders>
            <w:shd w:val="clear"/>
            <w:vAlign w:val="bottom"/>
          </w:tcPr>
          <w:p w14:paraId="53877D22">
            <w:pPr>
              <w:keepNext w:val="0"/>
              <w:keepLines w:val="0"/>
              <w:widowControl/>
              <w:suppressLineNumbers w:val="0"/>
              <w:jc w:val="left"/>
              <w:textAlignment w:val="bottom"/>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拓普康</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0FD861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30D47783">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7A844FD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角膜内皮细胞计</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40F78D3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SW-7000</w:t>
            </w:r>
          </w:p>
        </w:tc>
        <w:tc>
          <w:tcPr>
            <w:tcW w:w="2463" w:type="dxa"/>
            <w:tcBorders>
              <w:top w:val="single" w:color="auto" w:sz="4" w:space="0"/>
              <w:left w:val="single" w:color="auto" w:sz="4" w:space="0"/>
              <w:bottom w:val="single" w:color="auto" w:sz="4" w:space="0"/>
              <w:right w:val="single" w:color="auto" w:sz="4" w:space="0"/>
            </w:tcBorders>
            <w:shd w:val="clear"/>
            <w:vAlign w:val="center"/>
          </w:tcPr>
          <w:p w14:paraId="73F0A9E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索维电子</w:t>
            </w:r>
          </w:p>
        </w:tc>
        <w:tc>
          <w:tcPr>
            <w:tcW w:w="1209" w:type="dxa"/>
            <w:tcBorders>
              <w:top w:val="single" w:color="auto" w:sz="4" w:space="0"/>
              <w:left w:val="single" w:color="auto" w:sz="4" w:space="0"/>
              <w:bottom w:val="single" w:color="auto" w:sz="4" w:space="0"/>
              <w:right w:val="single" w:color="auto" w:sz="4" w:space="0"/>
            </w:tcBorders>
            <w:shd w:val="clear"/>
            <w:vAlign w:val="center"/>
          </w:tcPr>
          <w:p w14:paraId="72B1FA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1</w:t>
            </w:r>
          </w:p>
        </w:tc>
      </w:tr>
      <w:tr w14:paraId="32AD0124">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61F99BC1">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多光谱眼底照相机（屈光地形图）</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3FD919AC">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MSI C2008</w:t>
            </w:r>
          </w:p>
        </w:tc>
        <w:tc>
          <w:tcPr>
            <w:tcW w:w="2463" w:type="dxa"/>
            <w:tcBorders>
              <w:top w:val="single" w:color="auto" w:sz="4" w:space="0"/>
              <w:left w:val="single" w:color="auto" w:sz="4" w:space="0"/>
              <w:bottom w:val="single" w:color="auto" w:sz="4" w:space="0"/>
              <w:right w:val="single" w:color="auto" w:sz="4" w:space="0"/>
            </w:tcBorders>
            <w:shd w:val="clear"/>
            <w:vAlign w:val="bottom"/>
          </w:tcPr>
          <w:p w14:paraId="06BABE2B">
            <w:pPr>
              <w:keepNext w:val="0"/>
              <w:keepLines w:val="0"/>
              <w:widowControl/>
              <w:suppressLineNumbers w:val="0"/>
              <w:jc w:val="left"/>
              <w:textAlignment w:val="bottom"/>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盛达同泽</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451E33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12EF5F25">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32119626">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Style w:val="47"/>
                <w:lang w:val="en-US" w:eastAsia="zh-CN" w:bidi="ar"/>
              </w:rPr>
              <w:t>共焦激光断层扫描仪（共焦激光角膜显微镜</w:t>
            </w:r>
            <w:r>
              <w:rPr>
                <w:rFonts w:hint="eastAsia" w:ascii="宋体" w:hAnsi="宋体" w:eastAsia="宋体" w:cs="宋体"/>
                <w:i w:val="0"/>
                <w:iCs w:val="0"/>
                <w:color w:val="000000"/>
                <w:kern w:val="0"/>
                <w:sz w:val="24"/>
                <w:szCs w:val="24"/>
                <w:u w:val="none"/>
                <w:lang w:val="en-US" w:eastAsia="zh-CN" w:bidi="ar"/>
                <w14:ligatures w14:val="none"/>
              </w:rPr>
              <w:t>）</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67BA0200">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HRT3</w:t>
            </w:r>
          </w:p>
        </w:tc>
        <w:tc>
          <w:tcPr>
            <w:tcW w:w="2463" w:type="dxa"/>
            <w:tcBorders>
              <w:top w:val="single" w:color="auto" w:sz="4" w:space="0"/>
              <w:left w:val="single" w:color="auto" w:sz="4" w:space="0"/>
              <w:bottom w:val="single" w:color="auto" w:sz="4" w:space="0"/>
              <w:right w:val="single" w:color="auto" w:sz="4" w:space="0"/>
            </w:tcBorders>
            <w:shd w:val="clear"/>
            <w:vAlign w:val="bottom"/>
          </w:tcPr>
          <w:p w14:paraId="65EB9DCD">
            <w:pPr>
              <w:keepNext w:val="0"/>
              <w:keepLines w:val="0"/>
              <w:widowControl/>
              <w:suppressLineNumbers w:val="0"/>
              <w:jc w:val="left"/>
              <w:textAlignment w:val="bottom"/>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海德堡</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1B11BF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42877DD1">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0421C1C5">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眼科光学生物测量仪（光学生物测量仪）</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1E13664E">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IOLMaster700</w:t>
            </w:r>
          </w:p>
        </w:tc>
        <w:tc>
          <w:tcPr>
            <w:tcW w:w="2463" w:type="dxa"/>
            <w:tcBorders>
              <w:top w:val="single" w:color="auto" w:sz="4" w:space="0"/>
              <w:left w:val="single" w:color="auto" w:sz="4" w:space="0"/>
              <w:bottom w:val="single" w:color="auto" w:sz="4" w:space="0"/>
              <w:right w:val="single" w:color="auto" w:sz="4" w:space="0"/>
            </w:tcBorders>
            <w:shd w:val="clear"/>
            <w:vAlign w:val="bottom"/>
          </w:tcPr>
          <w:p w14:paraId="6948799A">
            <w:pPr>
              <w:keepNext w:val="0"/>
              <w:keepLines w:val="0"/>
              <w:widowControl/>
              <w:suppressLineNumbers w:val="0"/>
              <w:jc w:val="left"/>
              <w:textAlignment w:val="bottom"/>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蔡司</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1C6DFC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2</w:t>
            </w:r>
          </w:p>
        </w:tc>
      </w:tr>
      <w:tr w14:paraId="0E5EF379">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62F289C0">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视野分析仪</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0D9B67E4">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860</w:t>
            </w:r>
          </w:p>
        </w:tc>
        <w:tc>
          <w:tcPr>
            <w:tcW w:w="2463" w:type="dxa"/>
            <w:tcBorders>
              <w:top w:val="single" w:color="auto" w:sz="4" w:space="0"/>
              <w:left w:val="single" w:color="auto" w:sz="4" w:space="0"/>
              <w:bottom w:val="single" w:color="auto" w:sz="4" w:space="0"/>
              <w:right w:val="single" w:color="auto" w:sz="4" w:space="0"/>
            </w:tcBorders>
            <w:shd w:val="clear"/>
            <w:vAlign w:val="bottom"/>
          </w:tcPr>
          <w:p w14:paraId="1DED40D7">
            <w:pPr>
              <w:keepNext w:val="0"/>
              <w:keepLines w:val="0"/>
              <w:widowControl/>
              <w:suppressLineNumbers w:val="0"/>
              <w:jc w:val="left"/>
              <w:textAlignment w:val="bottom"/>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蔡司</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31DD35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67A7C26C">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6BAF333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电脑视野检查仪（全自动电脑视野计）</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3B4C78A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APS-6000 BER</w:t>
            </w:r>
          </w:p>
        </w:tc>
        <w:tc>
          <w:tcPr>
            <w:tcW w:w="2463" w:type="dxa"/>
            <w:tcBorders>
              <w:top w:val="single" w:color="auto" w:sz="4" w:space="0"/>
              <w:left w:val="single" w:color="auto" w:sz="4" w:space="0"/>
              <w:bottom w:val="single" w:color="auto" w:sz="4" w:space="0"/>
              <w:right w:val="single" w:color="auto" w:sz="4" w:space="0"/>
            </w:tcBorders>
            <w:shd w:val="clear"/>
            <w:vAlign w:val="center"/>
          </w:tcPr>
          <w:p w14:paraId="7FBE91E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康华瑞明</w:t>
            </w:r>
          </w:p>
        </w:tc>
        <w:tc>
          <w:tcPr>
            <w:tcW w:w="1209" w:type="dxa"/>
            <w:tcBorders>
              <w:top w:val="single" w:color="auto" w:sz="4" w:space="0"/>
              <w:left w:val="single" w:color="auto" w:sz="4" w:space="0"/>
              <w:bottom w:val="single" w:color="auto" w:sz="4" w:space="0"/>
              <w:right w:val="single" w:color="auto" w:sz="4" w:space="0"/>
            </w:tcBorders>
            <w:shd w:val="clear"/>
            <w:vAlign w:val="center"/>
          </w:tcPr>
          <w:p w14:paraId="4CF17F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1</w:t>
            </w:r>
          </w:p>
        </w:tc>
      </w:tr>
      <w:tr w14:paraId="3A74CF22">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29DA9F79">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视觉功能分析仪（视觉分析系统）</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4324B08F">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iTrace</w:t>
            </w:r>
          </w:p>
        </w:tc>
        <w:tc>
          <w:tcPr>
            <w:tcW w:w="2463" w:type="dxa"/>
            <w:tcBorders>
              <w:top w:val="single" w:color="auto" w:sz="4" w:space="0"/>
              <w:left w:val="single" w:color="auto" w:sz="4" w:space="0"/>
              <w:bottom w:val="single" w:color="auto" w:sz="4" w:space="0"/>
              <w:right w:val="single" w:color="auto" w:sz="4" w:space="0"/>
            </w:tcBorders>
            <w:shd w:val="clear"/>
            <w:vAlign w:val="bottom"/>
          </w:tcPr>
          <w:p w14:paraId="7196425A">
            <w:pPr>
              <w:keepNext w:val="0"/>
              <w:keepLines w:val="0"/>
              <w:widowControl/>
              <w:suppressLineNumbers w:val="0"/>
              <w:jc w:val="left"/>
              <w:textAlignment w:val="bottom"/>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璀兮</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2C7C5F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2</w:t>
            </w:r>
          </w:p>
        </w:tc>
      </w:tr>
      <w:tr w14:paraId="6582981D">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2E3B2F02">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眼前节测量评估系统（眼前节分析系统）</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2F872988">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70900</w:t>
            </w:r>
          </w:p>
        </w:tc>
        <w:tc>
          <w:tcPr>
            <w:tcW w:w="2463" w:type="dxa"/>
            <w:tcBorders>
              <w:top w:val="single" w:color="auto" w:sz="4" w:space="0"/>
              <w:left w:val="single" w:color="auto" w:sz="4" w:space="0"/>
              <w:bottom w:val="single" w:color="auto" w:sz="4" w:space="0"/>
              <w:right w:val="single" w:color="auto" w:sz="4" w:space="0"/>
            </w:tcBorders>
            <w:shd w:val="clear"/>
            <w:vAlign w:val="bottom"/>
          </w:tcPr>
          <w:p w14:paraId="6F511D05">
            <w:pPr>
              <w:keepNext w:val="0"/>
              <w:keepLines w:val="0"/>
              <w:widowControl/>
              <w:suppressLineNumbers w:val="0"/>
              <w:jc w:val="left"/>
              <w:textAlignment w:val="bottom"/>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欧科路光学</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15D348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2</w:t>
            </w:r>
          </w:p>
        </w:tc>
      </w:tr>
      <w:tr w14:paraId="67CF7AC9">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5E127BFB">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微视野视野计（微视野计）</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062B3829">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MP-3</w:t>
            </w:r>
          </w:p>
        </w:tc>
        <w:tc>
          <w:tcPr>
            <w:tcW w:w="2463" w:type="dxa"/>
            <w:tcBorders>
              <w:top w:val="single" w:color="auto" w:sz="4" w:space="0"/>
              <w:left w:val="single" w:color="auto" w:sz="4" w:space="0"/>
              <w:bottom w:val="single" w:color="auto" w:sz="4" w:space="0"/>
              <w:right w:val="single" w:color="auto" w:sz="4" w:space="0"/>
            </w:tcBorders>
            <w:shd w:val="clear"/>
            <w:vAlign w:val="center"/>
          </w:tcPr>
          <w:p w14:paraId="4316268E">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尼德克</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43D1EF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3129F946">
        <w:tblPrEx>
          <w:tblCellMar>
            <w:top w:w="0" w:type="dxa"/>
            <w:left w:w="108" w:type="dxa"/>
            <w:bottom w:w="0" w:type="dxa"/>
            <w:right w:w="108" w:type="dxa"/>
          </w:tblCellMar>
        </w:tblPrEx>
        <w:trPr>
          <w:trHeight w:val="286" w:hRule="atLeast"/>
        </w:trPr>
        <w:tc>
          <w:tcPr>
            <w:tcW w:w="3052" w:type="dxa"/>
            <w:tcBorders>
              <w:top w:val="single" w:color="auto" w:sz="4" w:space="0"/>
              <w:left w:val="single" w:color="auto" w:sz="4" w:space="0"/>
              <w:bottom w:val="single" w:color="auto" w:sz="4" w:space="0"/>
              <w:right w:val="single" w:color="auto" w:sz="4" w:space="0"/>
            </w:tcBorders>
            <w:shd w:val="clear"/>
            <w:vAlign w:val="center"/>
          </w:tcPr>
          <w:p w14:paraId="1DA65AE5">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眼科A/B超声诊断仪</w:t>
            </w:r>
          </w:p>
        </w:tc>
        <w:tc>
          <w:tcPr>
            <w:tcW w:w="2060" w:type="dxa"/>
            <w:tcBorders>
              <w:top w:val="single" w:color="auto" w:sz="4" w:space="0"/>
              <w:left w:val="single" w:color="auto" w:sz="4" w:space="0"/>
              <w:bottom w:val="single" w:color="auto" w:sz="4" w:space="0"/>
              <w:right w:val="single" w:color="auto" w:sz="4" w:space="0"/>
            </w:tcBorders>
            <w:shd w:val="clear"/>
            <w:vAlign w:val="center"/>
          </w:tcPr>
          <w:p w14:paraId="11F9CFEC">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SW-2100</w:t>
            </w:r>
          </w:p>
        </w:tc>
        <w:tc>
          <w:tcPr>
            <w:tcW w:w="2463" w:type="dxa"/>
            <w:tcBorders>
              <w:top w:val="single" w:color="auto" w:sz="4" w:space="0"/>
              <w:left w:val="single" w:color="auto" w:sz="4" w:space="0"/>
              <w:bottom w:val="single" w:color="auto" w:sz="4" w:space="0"/>
              <w:right w:val="single" w:color="auto" w:sz="4" w:space="0"/>
            </w:tcBorders>
            <w:shd w:val="clear"/>
            <w:vAlign w:val="center"/>
          </w:tcPr>
          <w:p w14:paraId="37AA4436">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索维电子</w:t>
            </w:r>
          </w:p>
        </w:tc>
        <w:tc>
          <w:tcPr>
            <w:tcW w:w="1209" w:type="dxa"/>
            <w:tcBorders>
              <w:top w:val="single" w:color="auto" w:sz="4" w:space="0"/>
              <w:left w:val="single" w:color="auto" w:sz="4" w:space="0"/>
              <w:bottom w:val="single" w:color="auto" w:sz="4" w:space="0"/>
              <w:right w:val="single" w:color="auto" w:sz="4" w:space="0"/>
            </w:tcBorders>
            <w:shd w:val="clear"/>
            <w:vAlign w:val="bottom"/>
          </w:tcPr>
          <w:p w14:paraId="1A079D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3A1038A2">
        <w:tblPrEx>
          <w:tblCellMar>
            <w:top w:w="0" w:type="dxa"/>
            <w:left w:w="108" w:type="dxa"/>
            <w:bottom w:w="0" w:type="dxa"/>
            <w:right w:w="108" w:type="dxa"/>
          </w:tblCellMar>
        </w:tblPrEx>
        <w:trPr>
          <w:trHeight w:val="286" w:hRule="atLeast"/>
        </w:trPr>
        <w:tc>
          <w:tcPr>
            <w:tcW w:w="0" w:type="auto"/>
            <w:tcBorders>
              <w:top w:val="single" w:color="auto" w:sz="4" w:space="0"/>
              <w:left w:val="single" w:color="auto" w:sz="4" w:space="0"/>
              <w:bottom w:val="single" w:color="auto" w:sz="4" w:space="0"/>
              <w:right w:val="single" w:color="auto" w:sz="4" w:space="0"/>
            </w:tcBorders>
            <w:shd w:val="clear"/>
            <w:vAlign w:val="center"/>
          </w:tcPr>
          <w:p w14:paraId="0360085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 xml:space="preserve">眼科超声诊断仪（眼科A/B超） </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176DA9E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 xml:space="preserve"> CAS-2000 BER </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6502DD7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 xml:space="preserve"> 康华瑞明</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0DB7182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1</w:t>
            </w:r>
          </w:p>
        </w:tc>
      </w:tr>
      <w:tr w14:paraId="3239C90D">
        <w:tblPrEx>
          <w:tblCellMar>
            <w:top w:w="0" w:type="dxa"/>
            <w:left w:w="108" w:type="dxa"/>
            <w:bottom w:w="0" w:type="dxa"/>
            <w:right w:w="108" w:type="dxa"/>
          </w:tblCellMar>
        </w:tblPrEx>
        <w:trPr>
          <w:trHeight w:val="286" w:hRule="atLeast"/>
        </w:trPr>
        <w:tc>
          <w:tcPr>
            <w:tcW w:w="0" w:type="auto"/>
            <w:tcBorders>
              <w:top w:val="single" w:color="auto" w:sz="4" w:space="0"/>
              <w:left w:val="single" w:color="auto" w:sz="4" w:space="0"/>
              <w:bottom w:val="single" w:color="auto" w:sz="4" w:space="0"/>
              <w:right w:val="single" w:color="auto" w:sz="4" w:space="0"/>
            </w:tcBorders>
            <w:shd w:val="clear"/>
            <w:vAlign w:val="center"/>
          </w:tcPr>
          <w:p w14:paraId="67C7BDAA">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角膜地形图仪（眼表综合分析仪（角膜地形图））</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5ADB7761">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77000</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57FDD8A0">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欧科路光学</w:t>
            </w:r>
          </w:p>
        </w:tc>
        <w:tc>
          <w:tcPr>
            <w:tcW w:w="0" w:type="auto"/>
            <w:tcBorders>
              <w:top w:val="single" w:color="auto" w:sz="4" w:space="0"/>
              <w:left w:val="single" w:color="auto" w:sz="4" w:space="0"/>
              <w:bottom w:val="single" w:color="auto" w:sz="4" w:space="0"/>
              <w:right w:val="single" w:color="auto" w:sz="4" w:space="0"/>
            </w:tcBorders>
            <w:shd w:val="clear"/>
            <w:vAlign w:val="bottom"/>
          </w:tcPr>
          <w:p w14:paraId="5958C6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cs="宋体"/>
                <w:i w:val="0"/>
                <w:iCs w:val="0"/>
                <w:color w:val="000000"/>
                <w:kern w:val="0"/>
                <w:sz w:val="20"/>
                <w:szCs w:val="20"/>
                <w:u w:val="none"/>
                <w:lang w:val="en-US" w:eastAsia="zh-CN" w:bidi="ar"/>
                <w14:ligatures w14:val="none"/>
              </w:rPr>
              <w:t>2</w:t>
            </w:r>
          </w:p>
        </w:tc>
      </w:tr>
      <w:tr w14:paraId="26CF57A2">
        <w:tblPrEx>
          <w:tblCellMar>
            <w:top w:w="0" w:type="dxa"/>
            <w:left w:w="108" w:type="dxa"/>
            <w:bottom w:w="0" w:type="dxa"/>
            <w:right w:w="108" w:type="dxa"/>
          </w:tblCellMar>
        </w:tblPrEx>
        <w:trPr>
          <w:trHeight w:val="286" w:hRule="atLeast"/>
        </w:trPr>
        <w:tc>
          <w:tcPr>
            <w:tcW w:w="0" w:type="auto"/>
            <w:tcBorders>
              <w:top w:val="single" w:color="auto" w:sz="4" w:space="0"/>
              <w:left w:val="single" w:color="auto" w:sz="4" w:space="0"/>
              <w:bottom w:val="single" w:color="auto" w:sz="4" w:space="0"/>
              <w:right w:val="single" w:color="auto" w:sz="4" w:space="0"/>
            </w:tcBorders>
            <w:shd w:val="clear"/>
            <w:vAlign w:val="center"/>
          </w:tcPr>
          <w:p w14:paraId="5733683F">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眼电生理系统</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78E8CFCB">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MonPackONE</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3D253CFB">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迈威</w:t>
            </w:r>
          </w:p>
        </w:tc>
        <w:tc>
          <w:tcPr>
            <w:tcW w:w="0" w:type="auto"/>
            <w:tcBorders>
              <w:top w:val="single" w:color="auto" w:sz="4" w:space="0"/>
              <w:left w:val="single" w:color="auto" w:sz="4" w:space="0"/>
              <w:bottom w:val="single" w:color="auto" w:sz="4" w:space="0"/>
              <w:right w:val="single" w:color="auto" w:sz="4" w:space="0"/>
            </w:tcBorders>
            <w:shd w:val="clear"/>
            <w:vAlign w:val="bottom"/>
          </w:tcPr>
          <w:p w14:paraId="07F23B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r w14:paraId="2302055E">
        <w:tblPrEx>
          <w:tblCellMar>
            <w:top w:w="0" w:type="dxa"/>
            <w:left w:w="108" w:type="dxa"/>
            <w:bottom w:w="0" w:type="dxa"/>
            <w:right w:w="108" w:type="dxa"/>
          </w:tblCellMar>
        </w:tblPrEx>
        <w:trPr>
          <w:trHeight w:val="286" w:hRule="atLeast"/>
        </w:trPr>
        <w:tc>
          <w:tcPr>
            <w:tcW w:w="0" w:type="auto"/>
            <w:tcBorders>
              <w:top w:val="single" w:color="auto" w:sz="4" w:space="0"/>
              <w:left w:val="single" w:color="auto" w:sz="4" w:space="0"/>
              <w:bottom w:val="single" w:color="auto" w:sz="4" w:space="0"/>
              <w:right w:val="single" w:color="auto" w:sz="4" w:space="0"/>
            </w:tcBorders>
            <w:shd w:val="clear"/>
            <w:vAlign w:val="center"/>
          </w:tcPr>
          <w:p w14:paraId="64B4BF27">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角膜地形图仪角膜形状测定装置</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5331B0D1">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TMS-4N</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4E369A5A">
            <w:pPr>
              <w:keepNext w:val="0"/>
              <w:keepLines w:val="0"/>
              <w:widowControl/>
              <w:suppressLineNumbers w:val="0"/>
              <w:jc w:val="left"/>
              <w:textAlignment w:val="center"/>
              <w:rPr>
                <w:rFonts w:hint="eastAsia" w:ascii="宋体" w:hAnsi="宋体" w:eastAsia="宋体" w:cs="宋体"/>
                <w:color w:val="000000"/>
                <w:kern w:val="0"/>
                <w:sz w:val="24"/>
                <w:szCs w:val="24"/>
                <w:highlight w:val="yellow"/>
                <w:lang w:val="en-US" w:eastAsia="zh-CN" w:bidi="ar-SA"/>
              </w:rPr>
            </w:pPr>
            <w:r>
              <w:rPr>
                <w:rFonts w:hint="eastAsia" w:ascii="宋体" w:hAnsi="宋体" w:eastAsia="宋体" w:cs="宋体"/>
                <w:i w:val="0"/>
                <w:iCs w:val="0"/>
                <w:color w:val="000000"/>
                <w:kern w:val="0"/>
                <w:sz w:val="20"/>
                <w:szCs w:val="20"/>
                <w:u w:val="none"/>
                <w:lang w:val="en-US" w:eastAsia="zh-CN" w:bidi="ar"/>
                <w14:ligatures w14:val="none"/>
              </w:rPr>
              <w:t>株式会社</w:t>
            </w:r>
          </w:p>
        </w:tc>
        <w:tc>
          <w:tcPr>
            <w:tcW w:w="0" w:type="auto"/>
            <w:tcBorders>
              <w:top w:val="single" w:color="auto" w:sz="4" w:space="0"/>
              <w:left w:val="single" w:color="auto" w:sz="4" w:space="0"/>
              <w:bottom w:val="single" w:color="auto" w:sz="4" w:space="0"/>
              <w:right w:val="single" w:color="auto" w:sz="4" w:space="0"/>
            </w:tcBorders>
            <w:shd w:val="clear"/>
            <w:vAlign w:val="bottom"/>
          </w:tcPr>
          <w:p w14:paraId="636C10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14:ligatures w14:val="none"/>
              </w:rPr>
            </w:pPr>
            <w:r>
              <w:rPr>
                <w:rFonts w:hint="eastAsia" w:ascii="宋体" w:hAnsi="宋体" w:eastAsia="宋体" w:cs="宋体"/>
                <w:i w:val="0"/>
                <w:iCs w:val="0"/>
                <w:color w:val="000000"/>
                <w:kern w:val="0"/>
                <w:sz w:val="20"/>
                <w:szCs w:val="20"/>
                <w:u w:val="none"/>
                <w:lang w:val="en-US" w:eastAsia="zh-CN" w:bidi="ar"/>
                <w14:ligatures w14:val="none"/>
              </w:rPr>
              <w:t>1</w:t>
            </w:r>
          </w:p>
        </w:tc>
      </w:tr>
    </w:tbl>
    <w:p w14:paraId="324CC0A8">
      <w:pPr>
        <w:rPr>
          <w:color w:val="auto"/>
        </w:rPr>
      </w:pPr>
      <w:bookmarkStart w:id="4" w:name="_GoBack"/>
      <w:bookmarkEnd w:id="4"/>
      <w:r>
        <w:rPr>
          <w:rFonts w:hint="eastAsia"/>
          <w:color w:val="auto"/>
        </w:rPr>
        <w:br w:type="page"/>
      </w:r>
    </w:p>
    <w:p w14:paraId="4587B8C9">
      <w:pPr>
        <w:numPr>
          <w:ilvl w:val="0"/>
          <w:numId w:val="9"/>
        </w:numPr>
        <w:ind w:firstLine="570"/>
        <w:rPr>
          <w:rFonts w:hint="eastAsia" w:ascii="仿宋_GB2312" w:hAnsi="仿宋_GB2312" w:cs="仿宋_GB2312"/>
          <w:b/>
          <w:bCs/>
          <w:color w:val="auto"/>
          <w:sz w:val="28"/>
          <w:szCs w:val="28"/>
        </w:rPr>
      </w:pPr>
      <w:r>
        <w:rPr>
          <w:rFonts w:hint="eastAsia" w:ascii="仿宋_GB2312" w:hAnsi="仿宋_GB2312" w:cs="仿宋_GB2312"/>
          <w:b/>
          <w:bCs/>
          <w:color w:val="auto"/>
          <w:sz w:val="28"/>
          <w:szCs w:val="28"/>
        </w:rPr>
        <w:t>服务要求</w:t>
      </w:r>
    </w:p>
    <w:p w14:paraId="02C8C300">
      <w:pPr>
        <w:rPr>
          <w:color w:val="auto"/>
        </w:rPr>
      </w:pPr>
      <w:r>
        <w:rPr>
          <w:rFonts w:hint="eastAsia"/>
          <w:color w:val="auto"/>
        </w:rPr>
        <w:t>1.运行维护服务周期:自项目终验合格之日起3年。</w:t>
      </w:r>
    </w:p>
    <w:p w14:paraId="6AED9184">
      <w:pPr>
        <w:rPr>
          <w:color w:val="auto"/>
        </w:rPr>
      </w:pPr>
      <w:r>
        <w:rPr>
          <w:rFonts w:hint="eastAsia"/>
          <w:color w:val="auto"/>
        </w:rPr>
        <w:t>2.分级故障处置标准。</w:t>
      </w:r>
    </w:p>
    <w:p w14:paraId="36F46FD7">
      <w:pPr>
        <w:rPr>
          <w:color w:val="auto"/>
        </w:rPr>
      </w:pPr>
      <w:r>
        <w:rPr>
          <w:rFonts w:hint="eastAsia"/>
          <w:color w:val="auto"/>
        </w:rPr>
        <w:t>紧急故障 (系统宕机、数据库崩溃、驾驶舱无法访问)：接到故障报修30分钟内技术人员响应并启动故障处置，如需现场支持立即启动赴现场安排；2小时内给出解决方案，优先远程完成业务修复。</w:t>
      </w:r>
    </w:p>
    <w:p w14:paraId="5A735176">
      <w:pPr>
        <w:pStyle w:val="16"/>
        <w:spacing w:after="0" w:line="240" w:lineRule="auto"/>
        <w:rPr>
          <w:color w:val="auto"/>
        </w:rPr>
      </w:pPr>
      <w:r>
        <w:rPr>
          <w:rFonts w:hint="eastAsia"/>
          <w:color w:val="auto"/>
        </w:rPr>
        <w:t>一般非紧急故障：24 小时内完成修复，远程无法解决须上门处理。</w:t>
      </w:r>
    </w:p>
    <w:p w14:paraId="15090B37">
      <w:pPr>
        <w:pStyle w:val="16"/>
        <w:spacing w:after="0" w:line="240" w:lineRule="auto"/>
        <w:rPr>
          <w:color w:val="auto"/>
        </w:rPr>
      </w:pPr>
      <w:r>
        <w:rPr>
          <w:rFonts w:hint="eastAsia"/>
          <w:color w:val="auto"/>
        </w:rPr>
        <w:t xml:space="preserve">3.常态化运维工作内容 </w:t>
      </w:r>
    </w:p>
    <w:p w14:paraId="16FFED50">
      <w:pPr>
        <w:pStyle w:val="16"/>
        <w:spacing w:after="0" w:line="240" w:lineRule="auto"/>
        <w:rPr>
          <w:color w:val="auto"/>
        </w:rPr>
      </w:pPr>
      <w:r>
        <w:rPr>
          <w:rFonts w:hint="eastAsia"/>
          <w:color w:val="auto"/>
        </w:rPr>
        <w:t>系统实时监控：7×24 小时监测数据库、应用、接口运行状态，异常自动告警。</w:t>
      </w:r>
    </w:p>
    <w:p w14:paraId="733FCF9B">
      <w:pPr>
        <w:pStyle w:val="16"/>
        <w:spacing w:after="0" w:line="240" w:lineRule="auto"/>
        <w:rPr>
          <w:color w:val="auto"/>
        </w:rPr>
      </w:pPr>
      <w:r>
        <w:rPr>
          <w:rFonts w:hint="eastAsia"/>
          <w:color w:val="auto"/>
        </w:rPr>
        <w:t>安全运维：每两周开展一次数据库安全巡检，输出安全检查报告，及时处置漏洞；</w:t>
      </w:r>
    </w:p>
    <w:p w14:paraId="720C5A54">
      <w:pPr>
        <w:pStyle w:val="16"/>
        <w:spacing w:after="0" w:line="240" w:lineRule="auto"/>
        <w:rPr>
          <w:color w:val="auto"/>
        </w:rPr>
      </w:pPr>
      <w:r>
        <w:rPr>
          <w:rFonts w:hint="eastAsia"/>
          <w:color w:val="auto"/>
        </w:rPr>
        <w:t>数据备份：每天固定时间进行一次增量备份，每半年完整全量备份数据库与核心指标、报表模板，提供完整数据恢复演练支持。</w:t>
      </w:r>
    </w:p>
    <w:p w14:paraId="5EF22D71">
      <w:pPr>
        <w:pStyle w:val="16"/>
        <w:spacing w:after="0" w:line="240" w:lineRule="auto"/>
        <w:rPr>
          <w:color w:val="auto"/>
        </w:rPr>
      </w:pPr>
      <w:r>
        <w:rPr>
          <w:rFonts w:hint="eastAsia"/>
          <w:color w:val="auto"/>
        </w:rPr>
        <w:t>技术咨询：随时提供数据提取、指标口径、功能操作技术支撑。</w:t>
      </w:r>
    </w:p>
    <w:p w14:paraId="0BC63BAB">
      <w:pPr>
        <w:pStyle w:val="16"/>
        <w:spacing w:after="0" w:line="240" w:lineRule="auto"/>
        <w:rPr>
          <w:color w:val="auto"/>
        </w:rPr>
      </w:pPr>
      <w:r>
        <w:rPr>
          <w:rFonts w:hint="eastAsia"/>
          <w:color w:val="auto"/>
        </w:rPr>
        <w:t>运维文档交付：按季提供全套运维资料，包含故障复盘、巡检记录、需求变更、系统升级、数据库优化、培训记录、月度运维总结报告。</w:t>
      </w:r>
    </w:p>
    <w:p w14:paraId="4EEBCD03">
      <w:pPr>
        <w:pStyle w:val="16"/>
        <w:spacing w:after="0" w:line="240" w:lineRule="auto"/>
        <w:rPr>
          <w:color w:val="auto"/>
        </w:rPr>
      </w:pPr>
      <w:r>
        <w:rPr>
          <w:rFonts w:hint="eastAsia"/>
          <w:color w:val="auto"/>
        </w:rPr>
        <w:t>培训服务：供应商应提供不少于3场现场集中培训，覆盖系统使用所有角色，并确保受训人员能独立操作。同时需提供完整的培训或操作手册。</w:t>
      </w:r>
    </w:p>
    <w:p w14:paraId="68FDCACE">
      <w:pPr>
        <w:ind w:firstLine="570"/>
        <w:rPr>
          <w:rFonts w:hint="eastAsia" w:ascii="仿宋_GB2312" w:hAnsi="仿宋_GB2312" w:cs="仿宋_GB2312"/>
          <w:b/>
          <w:bCs/>
          <w:color w:val="auto"/>
          <w:sz w:val="28"/>
          <w:szCs w:val="28"/>
        </w:rPr>
      </w:pPr>
    </w:p>
    <w:p w14:paraId="6B5A1CC5">
      <w:pPr>
        <w:ind w:firstLine="570"/>
        <w:rPr>
          <w:rFonts w:hint="eastAsia" w:ascii="仿宋_GB2312" w:hAnsi="仿宋_GB2312" w:cs="仿宋_GB2312"/>
          <w:b/>
          <w:bCs/>
          <w:color w:val="auto"/>
          <w:sz w:val="28"/>
          <w:szCs w:val="28"/>
        </w:rPr>
      </w:pPr>
      <w:r>
        <w:rPr>
          <w:rFonts w:hint="eastAsia" w:ascii="仿宋_GB2312" w:hAnsi="仿宋_GB2312" w:cs="仿宋_GB2312"/>
          <w:b/>
          <w:bCs/>
          <w:color w:val="auto"/>
          <w:sz w:val="28"/>
          <w:szCs w:val="28"/>
        </w:rPr>
        <w:t>三、信息安全</w:t>
      </w:r>
    </w:p>
    <w:p w14:paraId="7B0EACE5">
      <w:pPr>
        <w:pStyle w:val="16"/>
        <w:spacing w:after="0" w:line="240" w:lineRule="auto"/>
        <w:rPr>
          <w:color w:val="auto"/>
        </w:rPr>
      </w:pPr>
      <w:r>
        <w:rPr>
          <w:rFonts w:hint="eastAsia"/>
          <w:color w:val="auto"/>
        </w:rPr>
        <w:t>（1）操作系统漏洞补丁修复（现有版本如有漏洞，及时更新）；</w:t>
      </w:r>
    </w:p>
    <w:p w14:paraId="7D0BCCCA">
      <w:pPr>
        <w:pStyle w:val="16"/>
        <w:spacing w:after="0" w:line="240" w:lineRule="auto"/>
        <w:rPr>
          <w:color w:val="auto"/>
        </w:rPr>
      </w:pPr>
      <w:r>
        <w:rPr>
          <w:rFonts w:hint="eastAsia"/>
          <w:color w:val="auto"/>
        </w:rPr>
        <w:t>（2）系统漏洞扫描，渗透测试问题修复（2小时内响应，48小时内修复完成）；收到安全隐患通知后，24小时内处置安全隐患。</w:t>
      </w:r>
    </w:p>
    <w:p w14:paraId="48BC6E79">
      <w:pPr>
        <w:pStyle w:val="16"/>
        <w:spacing w:after="0" w:line="240" w:lineRule="auto"/>
        <w:rPr>
          <w:color w:val="auto"/>
        </w:rPr>
      </w:pPr>
      <w:r>
        <w:rPr>
          <w:rFonts w:hint="eastAsia"/>
          <w:color w:val="auto"/>
        </w:rPr>
        <w:t>（3）成立安全管理团队：建立7×24小时安全值班组（含开发/运维/安全三方联动），漏洞确认后立即启动跨部门会议；</w:t>
      </w:r>
    </w:p>
    <w:p w14:paraId="7FE6F2FE">
      <w:pPr>
        <w:pStyle w:val="16"/>
        <w:spacing w:after="0" w:line="240" w:lineRule="auto"/>
        <w:rPr>
          <w:color w:val="auto"/>
        </w:rPr>
      </w:pPr>
      <w:r>
        <w:rPr>
          <w:rFonts w:hint="eastAsia"/>
          <w:color w:val="auto"/>
        </w:rPr>
        <w:t>（4）为保证系统数据稳定性及安全性，在系统上线前需通过采购人组织的安全评估，合格后方可正式上线运行。</w:t>
      </w:r>
    </w:p>
    <w:p w14:paraId="5A04EEB6">
      <w:pPr>
        <w:pStyle w:val="16"/>
        <w:spacing w:after="0" w:line="240" w:lineRule="auto"/>
        <w:rPr>
          <w:color w:val="auto"/>
        </w:rPr>
      </w:pPr>
      <w:r>
        <w:rPr>
          <w:rFonts w:hint="eastAsia"/>
          <w:color w:val="auto"/>
        </w:rPr>
        <w:t>（5）服务期内，按照《中华人民共和国网络安全法》、《中华人民共和国保守国家秘密法》、《信息安全等级保护管理办法》的要求采取相应措施，接受采购人信息安全管理，协助采购人做好信息安全工作，及时处置安全风险。投标人须与采购人签订数据保密协议，须对其服务人员加强信息系统安全管理教育和培训，增强系统安全防意识。</w:t>
      </w:r>
    </w:p>
    <w:p w14:paraId="0A46A073">
      <w:pPr>
        <w:pStyle w:val="16"/>
        <w:spacing w:after="0" w:line="240" w:lineRule="auto"/>
        <w:rPr>
          <w:color w:val="auto"/>
        </w:rPr>
      </w:pPr>
    </w:p>
    <w:p w14:paraId="52861792">
      <w:pPr>
        <w:ind w:firstLine="570"/>
        <w:rPr>
          <w:rFonts w:hint="eastAsia" w:ascii="仿宋_GB2312" w:hAnsi="仿宋_GB2312" w:cs="仿宋_GB2312"/>
          <w:b/>
          <w:bCs/>
          <w:color w:val="auto"/>
          <w:sz w:val="28"/>
          <w:szCs w:val="28"/>
        </w:rPr>
      </w:pPr>
      <w:r>
        <w:rPr>
          <w:rFonts w:hint="eastAsia" w:ascii="仿宋_GB2312" w:hAnsi="仿宋_GB2312" w:cs="仿宋_GB2312"/>
          <w:b/>
          <w:bCs/>
          <w:color w:val="auto"/>
          <w:sz w:val="28"/>
          <w:szCs w:val="28"/>
        </w:rPr>
        <w:t>四、系统接口与数据交互要求</w:t>
      </w:r>
    </w:p>
    <w:p w14:paraId="7D4313ED">
      <w:pPr>
        <w:pStyle w:val="16"/>
        <w:spacing w:after="0" w:line="240" w:lineRule="auto"/>
        <w:rPr>
          <w:color w:val="auto"/>
        </w:rPr>
      </w:pPr>
      <w:r>
        <w:rPr>
          <w:rFonts w:hint="eastAsia"/>
          <w:color w:val="auto"/>
        </w:rPr>
        <w:t>1. 接口费用要求</w:t>
      </w:r>
    </w:p>
    <w:p w14:paraId="11606DC7">
      <w:pPr>
        <w:pStyle w:val="16"/>
        <w:spacing w:after="0" w:line="240" w:lineRule="auto"/>
        <w:rPr>
          <w:color w:val="auto"/>
        </w:rPr>
      </w:pPr>
      <w:r>
        <w:rPr>
          <w:rFonts w:hint="eastAsia"/>
          <w:color w:val="auto"/>
        </w:rPr>
        <w:t>系统涉及的所有第三方系统（包括但不限于HIS）及硬件设备的接口对接开发、联调、测试及运维费用，应全部包含在本次报价中，医院无需另行支付任何费用。</w:t>
      </w:r>
    </w:p>
    <w:p w14:paraId="3B601661">
      <w:pPr>
        <w:pStyle w:val="16"/>
        <w:spacing w:after="0" w:line="240" w:lineRule="auto"/>
        <w:rPr>
          <w:color w:val="auto"/>
        </w:rPr>
      </w:pPr>
      <w:r>
        <w:rPr>
          <w:rFonts w:hint="eastAsia"/>
          <w:color w:val="auto"/>
        </w:rPr>
        <w:t>2. 数据读取要求：系统应通过接口从HIS等系统读取数据，具体读取字段需满足医院要求，并在实施阶段由双方确认的《接口需求规格说明书》中详细约定。</w:t>
      </w:r>
    </w:p>
    <w:p w14:paraId="70474BB8">
      <w:pPr>
        <w:pStyle w:val="16"/>
        <w:spacing w:after="0" w:line="240" w:lineRule="auto"/>
        <w:rPr>
          <w:color w:val="auto"/>
        </w:rPr>
      </w:pPr>
      <w:r>
        <w:rPr>
          <w:rFonts w:hint="eastAsia"/>
          <w:color w:val="auto"/>
        </w:rPr>
        <w:t>3. 接口交付物要求</w:t>
      </w:r>
    </w:p>
    <w:p w14:paraId="7A30D2CB">
      <w:pPr>
        <w:pStyle w:val="16"/>
        <w:spacing w:after="0" w:line="240" w:lineRule="auto"/>
        <w:rPr>
          <w:color w:val="auto"/>
        </w:rPr>
      </w:pPr>
      <w:r>
        <w:rPr>
          <w:rFonts w:hint="eastAsia"/>
          <w:color w:val="auto"/>
        </w:rPr>
        <w:t>系统上线前，须向医院交付完整的接口技术文档，包括但不限于：接口清单、接口调用方式说明、数据字典、错误码对照表、接口测试报告。所有接口文档须与正式运行环境保持一致。</w:t>
      </w:r>
    </w:p>
    <w:p w14:paraId="3E13A6D0">
      <w:pPr>
        <w:pStyle w:val="16"/>
        <w:spacing w:after="0" w:line="240" w:lineRule="auto"/>
        <w:rPr>
          <w:color w:val="auto"/>
        </w:rPr>
      </w:pPr>
      <w:r>
        <w:rPr>
          <w:rFonts w:hint="eastAsia"/>
          <w:color w:val="auto"/>
        </w:rPr>
        <w:t>4. 接口可用性保障</w:t>
      </w:r>
    </w:p>
    <w:p w14:paraId="12F35727">
      <w:pPr>
        <w:pStyle w:val="16"/>
        <w:spacing w:after="0" w:line="240" w:lineRule="auto"/>
        <w:rPr>
          <w:color w:val="auto"/>
        </w:rPr>
      </w:pPr>
      <w:r>
        <w:rPr>
          <w:rFonts w:hint="eastAsia"/>
          <w:color w:val="auto"/>
        </w:rPr>
        <w:t>运维服务期内，因医院第三方系统升级、更换等原因导致的接口失效，供应商须在收到通知后5个工作日内完成接口适配调整，确保系统恢复正常数据交互，相关费用需包含在整体费用中。</w:t>
      </w:r>
    </w:p>
    <w:p w14:paraId="1C6321A0">
      <w:pPr>
        <w:pStyle w:val="16"/>
        <w:spacing w:after="0" w:line="240" w:lineRule="auto"/>
        <w:rPr>
          <w:color w:val="auto"/>
        </w:rPr>
      </w:pPr>
    </w:p>
    <w:p w14:paraId="220DC248">
      <w:pPr>
        <w:pStyle w:val="16"/>
        <w:spacing w:after="0" w:line="240" w:lineRule="auto"/>
        <w:rPr>
          <w:color w:val="auto"/>
        </w:rPr>
      </w:pPr>
    </w:p>
    <w:p w14:paraId="04E2FEC1">
      <w:pPr>
        <w:rPr>
          <w:color w:val="auto"/>
        </w:rPr>
      </w:pPr>
      <w:r>
        <w:rPr>
          <w:color w:val="auto"/>
        </w:rPr>
        <w:br w:type="page"/>
      </w:r>
    </w:p>
    <w:tbl>
      <w:tblPr>
        <w:tblStyle w:val="19"/>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8"/>
        <w:gridCol w:w="6127"/>
      </w:tblGrid>
      <w:tr w14:paraId="3A4B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9195" w:type="dxa"/>
            <w:gridSpan w:val="2"/>
            <w:tcBorders>
              <w:top w:val="single" w:color="auto" w:sz="4" w:space="0"/>
              <w:left w:val="single" w:color="auto" w:sz="4" w:space="0"/>
              <w:bottom w:val="single" w:color="auto" w:sz="4" w:space="0"/>
              <w:right w:val="single" w:color="auto" w:sz="4" w:space="0"/>
            </w:tcBorders>
            <w:vAlign w:val="center"/>
          </w:tcPr>
          <w:p w14:paraId="680EE0F3">
            <w:pPr>
              <w:spacing w:after="156" w:afterLines="50" w:line="240" w:lineRule="auto"/>
              <w:jc w:val="center"/>
              <w:rPr>
                <w:rFonts w:ascii="Calibri" w:hAnsi="Calibri" w:eastAsia="宋体" w:cs="Times New Roman"/>
                <w:color w:val="000000"/>
                <w:kern w:val="2"/>
                <w:sz w:val="24"/>
                <w:szCs w:val="24"/>
                <w:lang w:eastAsia="zh-CN" w:bidi="ar-SA"/>
                <w14:ligatures w14:val="none"/>
              </w:rPr>
            </w:pPr>
            <w:r>
              <w:rPr>
                <w:rFonts w:hint="eastAsia" w:ascii="仿宋" w:hAnsi="仿宋" w:eastAsia="仿宋" w:cs="仿宋"/>
                <w:b/>
                <w:bCs/>
                <w:color w:val="000000"/>
                <w:kern w:val="2"/>
                <w:sz w:val="24"/>
                <w:szCs w:val="24"/>
                <w:lang w:eastAsia="zh-CN" w:bidi="ar"/>
                <w14:ligatures w14:val="none"/>
              </w:rPr>
              <w:t>厂商基本信息表</w:t>
            </w:r>
          </w:p>
        </w:tc>
      </w:tr>
      <w:tr w14:paraId="47BB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3C8A3E19">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产品相关产业发展情况（请详述全国产业情况及本公司发展情况）</w:t>
            </w:r>
          </w:p>
        </w:tc>
        <w:tc>
          <w:tcPr>
            <w:tcW w:w="6127" w:type="dxa"/>
            <w:tcBorders>
              <w:top w:val="single" w:color="auto" w:sz="4" w:space="0"/>
              <w:left w:val="single" w:color="auto" w:sz="4" w:space="0"/>
              <w:bottom w:val="single" w:color="auto" w:sz="4" w:space="0"/>
              <w:right w:val="single" w:color="auto" w:sz="4" w:space="0"/>
            </w:tcBorders>
            <w:vAlign w:val="center"/>
          </w:tcPr>
          <w:p w14:paraId="51F84DFA">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文字描述</w:t>
            </w:r>
          </w:p>
          <w:p w14:paraId="58FC8148">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1.全国情况：</w:t>
            </w:r>
          </w:p>
          <w:p w14:paraId="035ED2A7">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2.本公司情况：</w:t>
            </w:r>
          </w:p>
        </w:tc>
      </w:tr>
      <w:tr w14:paraId="07C6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32CE7AD6">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产品市场供给情况（简述本公司年供给情况，且另附佐证材料）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1CB8FCD9">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文字描述</w:t>
            </w:r>
          </w:p>
        </w:tc>
      </w:tr>
      <w:tr w14:paraId="1CCC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3B7444F2">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同类产品成交情况（进三年的成交情况，且另附佐证材料）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5DC8FC5D">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文字描述</w:t>
            </w:r>
          </w:p>
        </w:tc>
      </w:tr>
      <w:tr w14:paraId="7F32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174A5363">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公司企业类型（另附佐证材料）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70F4B3A7">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大型企业（）中型企业（）小型企业（）微型企业（）监狱企业（）其他</w:t>
            </w:r>
            <w:r>
              <w:rPr>
                <w:rFonts w:ascii="Calibri" w:hAnsi="Calibri" w:eastAsia="宋体" w:cs="Times New Roman"/>
                <w:color w:val="000000"/>
                <w:kern w:val="2"/>
                <w:sz w:val="24"/>
                <w:szCs w:val="24"/>
                <w:lang w:eastAsia="zh-CN" w:bidi="ar-SA"/>
                <w14:ligatures w14:val="none"/>
              </w:rPr>
              <w:t>注：“是”打√</w:t>
            </w:r>
          </w:p>
        </w:tc>
      </w:tr>
    </w:tbl>
    <w:p w14:paraId="71ED5301">
      <w:pPr>
        <w:spacing w:after="0" w:line="360" w:lineRule="auto"/>
        <w:jc w:val="right"/>
        <w:rPr>
          <w:rFonts w:ascii="仿宋_GB2312" w:hAnsi="仿宋_GB2312" w:eastAsia="仿宋_GB2312" w:cs="Times New Roman"/>
          <w:b/>
          <w:color w:val="000000"/>
          <w:kern w:val="2"/>
          <w:sz w:val="24"/>
          <w:szCs w:val="24"/>
          <w:lang w:eastAsia="zh-CN" w:bidi="ar-SA"/>
          <w14:ligatures w14:val="none"/>
        </w:rPr>
      </w:pPr>
    </w:p>
    <w:p w14:paraId="1BC56BBB">
      <w:pPr>
        <w:spacing w:after="0" w:line="360" w:lineRule="auto"/>
        <w:jc w:val="right"/>
        <w:rPr>
          <w:rFonts w:ascii="仿宋_GB2312" w:hAnsi="仿宋_GB2312" w:eastAsia="仿宋_GB2312" w:cs="Times New Roman"/>
          <w:b/>
          <w:color w:val="000000"/>
          <w:kern w:val="2"/>
          <w:sz w:val="24"/>
          <w:szCs w:val="24"/>
          <w:lang w:eastAsia="zh-CN" w:bidi="ar-SA"/>
          <w14:ligatures w14:val="none"/>
        </w:rPr>
      </w:pPr>
      <w:r>
        <w:rPr>
          <w:rFonts w:hint="eastAsia" w:ascii="仿宋_GB2312" w:hAnsi="仿宋_GB2312" w:eastAsia="仿宋_GB2312" w:cs="Times New Roman"/>
          <w:b/>
          <w:color w:val="000000"/>
          <w:kern w:val="2"/>
          <w:sz w:val="24"/>
          <w:szCs w:val="24"/>
          <w:lang w:eastAsia="zh-CN" w:bidi="ar-SA"/>
          <w14:ligatures w14:val="none"/>
        </w:rPr>
        <w:t>厂家（商）：盖公章</w:t>
      </w:r>
    </w:p>
    <w:p w14:paraId="3BF82235">
      <w:pPr>
        <w:spacing w:after="156" w:afterLines="50" w:line="240" w:lineRule="auto"/>
        <w:jc w:val="right"/>
        <w:rPr>
          <w:rFonts w:ascii="Calibri" w:hAnsi="Calibri" w:eastAsia="宋体" w:cs="Times New Roman"/>
          <w:color w:val="000000"/>
          <w:kern w:val="2"/>
          <w:sz w:val="24"/>
          <w:szCs w:val="24"/>
          <w:lang w:eastAsia="zh-CN" w:bidi="ar-SA"/>
          <w14:ligatures w14:val="none"/>
        </w:rPr>
      </w:pPr>
      <w:r>
        <w:rPr>
          <w:rFonts w:hint="eastAsia" w:ascii="仿宋_GB2312" w:hAnsi="仿宋_GB2312" w:eastAsia="仿宋_GB2312" w:cs="Times New Roman"/>
          <w:b/>
          <w:color w:val="000000"/>
          <w:kern w:val="2"/>
          <w:sz w:val="28"/>
          <w:szCs w:val="24"/>
          <w:lang w:eastAsia="zh-CN" w:bidi="ar-SA"/>
          <w14:ligatures w14:val="none"/>
        </w:rPr>
        <w:t>日期：   年   月   日</w:t>
      </w:r>
    </w:p>
    <w:p w14:paraId="2030BB54">
      <w:pPr>
        <w:spacing w:after="0" w:line="240" w:lineRule="auto"/>
        <w:jc w:val="both"/>
        <w:rPr>
          <w:rFonts w:ascii="Calibri" w:hAnsi="Calibri" w:eastAsia="宋体" w:cs="Times New Roman"/>
          <w:color w:val="000000"/>
          <w:kern w:val="2"/>
          <w:sz w:val="24"/>
          <w:szCs w:val="24"/>
          <w:lang w:eastAsia="zh-CN" w:bidi="ar-SA"/>
          <w14:ligatures w14:val="none"/>
        </w:rPr>
      </w:pPr>
    </w:p>
    <w:p w14:paraId="54C06AEF">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ascii="Calibri" w:hAnsi="Calibri" w:eastAsia="宋体" w:cs="Times New Roman"/>
          <w:color w:val="000000"/>
          <w:kern w:val="2"/>
          <w:sz w:val="24"/>
          <w:szCs w:val="24"/>
          <w:lang w:eastAsia="zh-CN" w:bidi="ar-SA"/>
          <w14:ligatures w14:val="none"/>
        </w:rPr>
        <w:br w:type="page"/>
      </w:r>
    </w:p>
    <w:p w14:paraId="6D2DF9C4">
      <w:pPr>
        <w:spacing w:after="0" w:line="240" w:lineRule="auto"/>
        <w:jc w:val="center"/>
        <w:rPr>
          <w:rFonts w:hint="eastAsia" w:ascii="方正小标宋_GBK" w:hAnsi="方正小标宋_GBK" w:eastAsia="方正小标宋_GBK" w:cs="方正小标宋_GBK"/>
          <w:color w:val="000000"/>
          <w:kern w:val="2"/>
          <w:sz w:val="36"/>
          <w:szCs w:val="36"/>
          <w:lang w:val="en-US" w:eastAsia="zh-CN" w:bidi="ar-SA"/>
          <w14:ligatures w14:val="none"/>
        </w:rPr>
      </w:pPr>
      <w:r>
        <w:rPr>
          <w:rFonts w:hint="eastAsia" w:ascii="方正小标宋_GBK" w:hAnsi="方正小标宋_GBK" w:eastAsia="方正小标宋_GBK" w:cs="方正小标宋_GBK"/>
          <w:color w:val="000000"/>
          <w:kern w:val="2"/>
          <w:sz w:val="36"/>
          <w:szCs w:val="36"/>
          <w:lang w:eastAsia="zh-CN" w:bidi="ar-SA"/>
          <w14:ligatures w14:val="none"/>
        </w:rPr>
        <w:t>成都市第二人民医院</w:t>
      </w:r>
      <w:r>
        <w:rPr>
          <w:rFonts w:hint="eastAsia" w:ascii="方正小标宋_GBK" w:hAnsi="方正小标宋_GBK" w:eastAsia="方正小标宋_GBK" w:cs="方正小标宋_GBK"/>
          <w:color w:val="000000"/>
          <w:kern w:val="2"/>
          <w:sz w:val="36"/>
          <w:szCs w:val="36"/>
          <w:lang w:val="en-US" w:eastAsia="zh-CN" w:bidi="ar-SA"/>
          <w14:ligatures w14:val="none"/>
        </w:rPr>
        <w:t>眼科数智诊疗平台建设</w:t>
      </w:r>
    </w:p>
    <w:p w14:paraId="57B0FFC2">
      <w:pPr>
        <w:spacing w:after="0" w:line="240" w:lineRule="auto"/>
        <w:jc w:val="center"/>
        <w:rPr>
          <w:rFonts w:ascii="方正小标宋简体" w:hAnsi="方正小标宋简体" w:eastAsia="方正小标宋_GBK" w:cs="Times New Roman"/>
          <w:color w:val="000000"/>
          <w:kern w:val="2"/>
          <w:sz w:val="36"/>
          <w:szCs w:val="36"/>
          <w:lang w:eastAsia="zh-CN" w:bidi="ar-SA"/>
          <w14:ligatures w14:val="none"/>
        </w:rPr>
      </w:pPr>
      <w:r>
        <w:rPr>
          <w:rFonts w:hint="eastAsia" w:ascii="方正小标宋_GBK" w:hAnsi="方正小标宋_GBK" w:eastAsia="方正小标宋_GBK" w:cs="方正小标宋_GBK"/>
          <w:color w:val="000000"/>
          <w:kern w:val="2"/>
          <w:sz w:val="36"/>
          <w:szCs w:val="36"/>
          <w:lang w:eastAsia="zh-CN" w:bidi="ar-SA"/>
          <w14:ligatures w14:val="none"/>
        </w:rPr>
        <w:t>项目报价表（</w:t>
      </w:r>
      <w:r>
        <w:rPr>
          <w:rFonts w:hint="eastAsia" w:ascii="方正小标宋_GBK" w:hAnsi="方正小标宋_GBK" w:eastAsia="方正小标宋_GBK" w:cs="方正小标宋_GBK"/>
          <w:color w:val="000000"/>
          <w:kern w:val="2"/>
          <w:sz w:val="36"/>
          <w:szCs w:val="36"/>
          <w:lang w:val="en-US" w:eastAsia="zh-CN" w:bidi="ar-SA"/>
          <w14:ligatures w14:val="none"/>
        </w:rPr>
        <w:t>第三次</w:t>
      </w:r>
      <w:r>
        <w:rPr>
          <w:rFonts w:hint="eastAsia" w:ascii="方正小标宋_GBK" w:hAnsi="方正小标宋_GBK" w:eastAsia="方正小标宋_GBK" w:cs="方正小标宋_GBK"/>
          <w:color w:val="000000"/>
          <w:kern w:val="2"/>
          <w:sz w:val="36"/>
          <w:szCs w:val="36"/>
          <w:lang w:eastAsia="zh-CN" w:bidi="ar-SA"/>
          <w14:ligatures w14:val="none"/>
        </w:rPr>
        <w:t>）</w:t>
      </w:r>
    </w:p>
    <w:p w14:paraId="7908F044">
      <w:pPr>
        <w:spacing w:after="0" w:line="240" w:lineRule="auto"/>
        <w:jc w:val="both"/>
        <w:rPr>
          <w:rFonts w:ascii="Calibri" w:hAnsi="Calibri" w:eastAsia="宋体" w:cs="Times New Roman"/>
          <w:color w:val="000000"/>
          <w:kern w:val="2"/>
          <w:sz w:val="24"/>
          <w:szCs w:val="24"/>
          <w:lang w:eastAsia="zh-CN" w:bidi="ar-SA"/>
          <w14:ligatures w14:val="none"/>
        </w:rPr>
      </w:pPr>
    </w:p>
    <w:tbl>
      <w:tblPr>
        <w:tblStyle w:val="19"/>
        <w:tblW w:w="9155" w:type="dxa"/>
        <w:jc w:val="center"/>
        <w:tblLayout w:type="fixed"/>
        <w:tblCellMar>
          <w:top w:w="0" w:type="dxa"/>
          <w:left w:w="0" w:type="dxa"/>
          <w:bottom w:w="0" w:type="dxa"/>
          <w:right w:w="0" w:type="dxa"/>
        </w:tblCellMar>
      </w:tblPr>
      <w:tblGrid>
        <w:gridCol w:w="1413"/>
        <w:gridCol w:w="1569"/>
        <w:gridCol w:w="3752"/>
        <w:gridCol w:w="1230"/>
        <w:gridCol w:w="1191"/>
      </w:tblGrid>
      <w:tr w14:paraId="4E46CCC0">
        <w:tblPrEx>
          <w:tblCellMar>
            <w:top w:w="0" w:type="dxa"/>
            <w:left w:w="0" w:type="dxa"/>
            <w:bottom w:w="0" w:type="dxa"/>
            <w:right w:w="0" w:type="dxa"/>
          </w:tblCellMar>
        </w:tblPrEx>
        <w:trPr>
          <w:trHeight w:val="710" w:hRule="atLeast"/>
          <w:jc w:val="center"/>
        </w:trPr>
        <w:tc>
          <w:tcPr>
            <w:tcW w:w="141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A351FD1">
            <w:pPr>
              <w:spacing w:after="0" w:line="240" w:lineRule="auto"/>
              <w:jc w:val="center"/>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项目</w:t>
            </w:r>
          </w:p>
        </w:tc>
        <w:tc>
          <w:tcPr>
            <w:tcW w:w="1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CF0C88F">
            <w:pPr>
              <w:spacing w:after="0" w:line="240" w:lineRule="auto"/>
              <w:jc w:val="center"/>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内容</w:t>
            </w:r>
          </w:p>
        </w:tc>
        <w:tc>
          <w:tcPr>
            <w:tcW w:w="37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0D75060">
            <w:pPr>
              <w:spacing w:after="0" w:line="240" w:lineRule="auto"/>
              <w:jc w:val="center"/>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用途</w:t>
            </w:r>
          </w:p>
        </w:tc>
        <w:tc>
          <w:tcPr>
            <w:tcW w:w="123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9B640C">
            <w:pPr>
              <w:spacing w:after="0" w:line="240" w:lineRule="auto"/>
              <w:jc w:val="center"/>
              <w:rPr>
                <w:rFonts w:ascii="Calibri" w:hAnsi="Calibri" w:eastAsia="宋体" w:cs="Times New Roman"/>
                <w:color w:val="000000"/>
                <w:kern w:val="2"/>
                <w:sz w:val="24"/>
                <w:szCs w:val="24"/>
                <w:lang w:val="en-US" w:eastAsia="zh-CN" w:bidi="ar-SA"/>
                <w14:ligatures w14:val="none"/>
              </w:rPr>
            </w:pPr>
            <w:r>
              <w:rPr>
                <w:rFonts w:hint="eastAsia" w:ascii="Calibri" w:hAnsi="Calibri" w:eastAsia="宋体" w:cs="Times New Roman"/>
                <w:color w:val="000000"/>
                <w:kern w:val="2"/>
                <w:sz w:val="24"/>
                <w:szCs w:val="24"/>
                <w:lang w:eastAsia="zh-CN" w:bidi="ar-SA"/>
                <w14:ligatures w14:val="none"/>
              </w:rPr>
              <w:t>报价</w:t>
            </w:r>
          </w:p>
        </w:tc>
        <w:tc>
          <w:tcPr>
            <w:tcW w:w="119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DB2C58">
            <w:pPr>
              <w:spacing w:after="0" w:line="240" w:lineRule="auto"/>
              <w:jc w:val="center"/>
              <w:rPr>
                <w:rFonts w:hint="eastAsia" w:ascii="Calibri" w:hAnsi="Calibri" w:eastAsia="宋体" w:cs="Times New Roman"/>
                <w:color w:val="000000"/>
                <w:kern w:val="2"/>
                <w:sz w:val="24"/>
                <w:szCs w:val="24"/>
                <w:lang w:val="en-US" w:eastAsia="zh-CN" w:bidi="ar-SA"/>
                <w14:ligatures w14:val="none"/>
              </w:rPr>
            </w:pPr>
            <w:r>
              <w:rPr>
                <w:rFonts w:hint="eastAsia" w:ascii="Calibri" w:hAnsi="Calibri" w:eastAsia="宋体" w:cs="Times New Roman"/>
                <w:color w:val="000000"/>
                <w:kern w:val="2"/>
                <w:sz w:val="24"/>
                <w:szCs w:val="24"/>
                <w:lang w:eastAsia="zh-CN" w:bidi="ar-SA"/>
                <w14:ligatures w14:val="none"/>
              </w:rPr>
              <w:t>备注</w:t>
            </w:r>
          </w:p>
        </w:tc>
      </w:tr>
      <w:tr w14:paraId="69ACE6F5">
        <w:tblPrEx>
          <w:tblCellMar>
            <w:top w:w="0" w:type="dxa"/>
            <w:left w:w="0" w:type="dxa"/>
            <w:bottom w:w="0" w:type="dxa"/>
            <w:right w:w="0" w:type="dxa"/>
          </w:tblCellMar>
        </w:tblPrEx>
        <w:trPr>
          <w:trHeight w:val="2110" w:hRule="atLeast"/>
          <w:jc w:val="center"/>
        </w:trPr>
        <w:tc>
          <w:tcPr>
            <w:tcW w:w="141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219B09E">
            <w:pPr>
              <w:spacing w:after="0" w:line="240" w:lineRule="auto"/>
              <w:jc w:val="both"/>
              <w:rPr>
                <w:rFonts w:hint="default" w:ascii="Calibri" w:hAnsi="Calibri" w:eastAsia="宋体" w:cs="Times New Roman"/>
                <w:color w:val="000000"/>
                <w:kern w:val="2"/>
                <w:sz w:val="24"/>
                <w:szCs w:val="24"/>
                <w:lang w:val="en-US" w:eastAsia="zh-CN" w:bidi="ar-SA"/>
                <w14:ligatures w14:val="none"/>
              </w:rPr>
            </w:pPr>
            <w:r>
              <w:rPr>
                <w:rFonts w:hint="eastAsia" w:ascii="Calibri" w:hAnsi="Calibri" w:eastAsia="宋体" w:cs="Times New Roman"/>
                <w:color w:val="000000"/>
                <w:kern w:val="2"/>
                <w:sz w:val="24"/>
                <w:szCs w:val="24"/>
                <w:lang w:val="en-US" w:eastAsia="zh-CN" w:bidi="ar-SA"/>
                <w14:ligatures w14:val="none"/>
              </w:rPr>
              <w:t>眼科数智诊疗平台建设项目</w:t>
            </w:r>
          </w:p>
        </w:tc>
        <w:tc>
          <w:tcPr>
            <w:tcW w:w="15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ED30453">
            <w:pPr>
              <w:spacing w:after="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详见</w:t>
            </w:r>
            <w:r>
              <w:rPr>
                <w:rFonts w:hint="eastAsia" w:ascii="Calibri" w:hAnsi="Calibri" w:eastAsia="宋体" w:cs="Times New Roman"/>
                <w:color w:val="000000"/>
                <w:kern w:val="2"/>
                <w:sz w:val="24"/>
                <w:szCs w:val="24"/>
                <w:lang w:val="en-US" w:eastAsia="zh-CN" w:bidi="ar-SA"/>
                <w14:ligatures w14:val="none"/>
              </w:rPr>
              <w:t>建设</w:t>
            </w:r>
            <w:r>
              <w:rPr>
                <w:rFonts w:hint="eastAsia" w:ascii="Calibri" w:hAnsi="Calibri" w:eastAsia="宋体" w:cs="Times New Roman"/>
                <w:color w:val="000000"/>
                <w:kern w:val="2"/>
                <w:sz w:val="24"/>
                <w:szCs w:val="24"/>
                <w:lang w:eastAsia="zh-CN" w:bidi="ar-SA"/>
                <w14:ligatures w14:val="none"/>
              </w:rPr>
              <w:t>要求。</w:t>
            </w:r>
          </w:p>
        </w:tc>
        <w:tc>
          <w:tcPr>
            <w:tcW w:w="375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CE01162">
            <w:pPr>
              <w:spacing w:after="0" w:line="240" w:lineRule="auto"/>
              <w:jc w:val="both"/>
              <w:rPr>
                <w:rFonts w:hint="default" w:ascii="Calibri" w:hAnsi="Calibri" w:eastAsia="宋体" w:cs="Times New Roman"/>
                <w:color w:val="000000"/>
                <w:kern w:val="2"/>
                <w:sz w:val="24"/>
                <w:szCs w:val="24"/>
                <w:lang w:val="en-US" w:eastAsia="zh-CN" w:bidi="ar-SA"/>
                <w14:ligatures w14:val="none"/>
              </w:rPr>
            </w:pPr>
            <w:r>
              <w:rPr>
                <w:rFonts w:hint="default" w:ascii="Calibri" w:hAnsi="Calibri" w:eastAsia="宋体" w:cs="Times New Roman"/>
                <w:color w:val="000000"/>
                <w:kern w:val="2"/>
                <w:sz w:val="24"/>
                <w:szCs w:val="24"/>
                <w:lang w:val="en-US" w:eastAsia="zh-CN" w:bidi="ar-SA"/>
                <w14:ligatures w14:val="none"/>
              </w:rPr>
              <w:t>实现眼科屈光手术与视光专科业务的数字化全流程管理</w:t>
            </w:r>
            <w:r>
              <w:rPr>
                <w:rFonts w:hint="eastAsia" w:ascii="Calibri" w:hAnsi="Calibri" w:eastAsia="宋体" w:cs="Times New Roman"/>
                <w:color w:val="000000"/>
                <w:kern w:val="2"/>
                <w:sz w:val="24"/>
                <w:szCs w:val="24"/>
                <w:lang w:val="en-US" w:eastAsia="zh-CN" w:bidi="ar-SA"/>
                <w14:ligatures w14:val="none"/>
              </w:rPr>
              <w:t>。</w:t>
            </w:r>
          </w:p>
        </w:tc>
        <w:tc>
          <w:tcPr>
            <w:tcW w:w="12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226AC85">
            <w:pPr>
              <w:spacing w:after="0" w:line="240" w:lineRule="auto"/>
              <w:jc w:val="both"/>
              <w:rPr>
                <w:rFonts w:ascii="Calibri" w:hAnsi="Calibri" w:eastAsia="宋体" w:cs="Times New Roman"/>
                <w:color w:val="000000"/>
                <w:kern w:val="2"/>
                <w:sz w:val="24"/>
                <w:szCs w:val="24"/>
                <w:lang w:eastAsia="zh-CN" w:bidi="ar-SA"/>
                <w14:ligatures w14:val="none"/>
              </w:rPr>
            </w:pPr>
          </w:p>
        </w:tc>
        <w:tc>
          <w:tcPr>
            <w:tcW w:w="119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6034EA2">
            <w:pPr>
              <w:spacing w:after="0" w:line="240" w:lineRule="auto"/>
              <w:jc w:val="both"/>
              <w:rPr>
                <w:rFonts w:hint="default" w:ascii="Calibri" w:hAnsi="Calibri" w:eastAsia="宋体" w:cs="Times New Roman"/>
                <w:color w:val="000000"/>
                <w:kern w:val="2"/>
                <w:sz w:val="24"/>
                <w:szCs w:val="24"/>
                <w:lang w:val="en-US" w:eastAsia="zh-CN" w:bidi="ar-SA"/>
                <w14:ligatures w14:val="none"/>
              </w:rPr>
            </w:pPr>
            <w:r>
              <w:rPr>
                <w:rFonts w:hint="eastAsia" w:ascii="Calibri" w:hAnsi="Calibri" w:eastAsia="宋体" w:cs="Times New Roman"/>
                <w:color w:val="000000"/>
                <w:kern w:val="2"/>
                <w:sz w:val="24"/>
                <w:szCs w:val="24"/>
                <w:lang w:val="en-US" w:eastAsia="zh-CN" w:bidi="ar-SA"/>
                <w14:ligatures w14:val="none"/>
              </w:rPr>
              <w:t>按照分项报价（软件各模块、计算资源、运维等）</w:t>
            </w:r>
          </w:p>
        </w:tc>
      </w:tr>
    </w:tbl>
    <w:p w14:paraId="1A9D1098">
      <w:pPr>
        <w:spacing w:after="0" w:line="240" w:lineRule="auto"/>
        <w:ind w:left="708" w:leftChars="295"/>
        <w:jc w:val="both"/>
        <w:rPr>
          <w:rFonts w:ascii="Calibri" w:hAnsi="Calibri" w:eastAsia="宋体" w:cs="Times New Roman"/>
          <w:color w:val="000000"/>
          <w:kern w:val="2"/>
          <w:sz w:val="24"/>
          <w:szCs w:val="24"/>
          <w:lang w:eastAsia="zh-CN" w:bidi="ar-SA"/>
          <w14:ligatures w14:val="none"/>
        </w:rPr>
      </w:pPr>
    </w:p>
    <w:p w14:paraId="587A8613">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r>
        <w:rPr>
          <w:rFonts w:hint="eastAsia" w:ascii="Calibri" w:hAnsi="Calibri" w:eastAsia="宋体" w:cs="Times New Roman"/>
          <w:smallCaps/>
          <w:color w:val="000000"/>
          <w:kern w:val="2"/>
          <w:sz w:val="24"/>
          <w:szCs w:val="24"/>
          <w:lang w:eastAsia="zh-CN" w:bidi="ar-SA"/>
          <w14:ligatures w14:val="none"/>
        </w:rPr>
        <w:t>报价公司：</w:t>
      </w:r>
    </w:p>
    <w:p w14:paraId="33BE59A3">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r>
        <w:rPr>
          <w:rFonts w:hint="eastAsia" w:ascii="Calibri" w:hAnsi="Calibri" w:eastAsia="宋体" w:cs="Times New Roman"/>
          <w:smallCaps/>
          <w:color w:val="000000"/>
          <w:kern w:val="2"/>
          <w:sz w:val="24"/>
          <w:szCs w:val="24"/>
          <w:lang w:eastAsia="zh-CN" w:bidi="ar-SA"/>
          <w14:ligatures w14:val="none"/>
        </w:rPr>
        <w:t>联系方式：</w:t>
      </w:r>
    </w:p>
    <w:p w14:paraId="6A58159D">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r>
        <w:rPr>
          <w:rFonts w:hint="eastAsia" w:ascii="Calibri" w:hAnsi="Calibri" w:eastAsia="宋体" w:cs="Times New Roman"/>
          <w:smallCaps/>
          <w:color w:val="000000"/>
          <w:kern w:val="2"/>
          <w:sz w:val="24"/>
          <w:szCs w:val="24"/>
          <w:lang w:eastAsia="zh-CN" w:bidi="ar-SA"/>
          <w14:ligatures w14:val="none"/>
        </w:rPr>
        <w:t>是否对需求内容完全响应：</w:t>
      </w:r>
    </w:p>
    <w:p w14:paraId="01B3E20B">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r>
        <w:rPr>
          <w:rFonts w:hint="eastAsia" w:ascii="Calibri" w:hAnsi="Calibri" w:eastAsia="宋体" w:cs="Times New Roman"/>
          <w:smallCaps/>
          <w:color w:val="000000"/>
          <w:kern w:val="2"/>
          <w:sz w:val="24"/>
          <w:szCs w:val="24"/>
          <w:lang w:eastAsia="zh-CN" w:bidi="ar-SA"/>
          <w14:ligatures w14:val="none"/>
        </w:rPr>
        <w:t>日期：</w:t>
      </w:r>
    </w:p>
    <w:p w14:paraId="6614FB99">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p>
    <w:p w14:paraId="426A2523">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p>
    <w:p w14:paraId="38CD827F">
      <w:pPr>
        <w:spacing w:after="0" w:line="240" w:lineRule="auto"/>
        <w:jc w:val="both"/>
        <w:rPr>
          <w:rFonts w:ascii="Calibri" w:hAnsi="Calibri" w:eastAsia="宋体" w:cs="Times New Roman"/>
          <w:color w:val="000000"/>
          <w:kern w:val="2"/>
          <w:sz w:val="24"/>
          <w:szCs w:val="24"/>
          <w:lang w:eastAsia="zh-CN" w:bidi="ar-SA"/>
          <w14:ligatures w14:val="none"/>
        </w:rPr>
      </w:pPr>
    </w:p>
    <w:p w14:paraId="7F323566">
      <w:pPr>
        <w:spacing w:after="0" w:line="240" w:lineRule="auto"/>
        <w:jc w:val="both"/>
        <w:rPr>
          <w:rFonts w:ascii="Calibri" w:hAnsi="Calibri" w:eastAsia="宋体" w:cs="Times New Roman"/>
          <w:color w:val="000000"/>
          <w:kern w:val="2"/>
          <w:sz w:val="24"/>
          <w:szCs w:val="24"/>
          <w:lang w:eastAsia="zh-CN" w:bidi="ar-SA"/>
          <w14:ligatures w14:val="none"/>
        </w:rPr>
      </w:pPr>
      <w:r>
        <w:rPr>
          <w:rFonts w:ascii="Calibri" w:hAnsi="Calibri" w:eastAsia="宋体" w:cs="Times New Roman"/>
          <w:color w:val="000000"/>
          <w:kern w:val="2"/>
          <w:sz w:val="24"/>
          <w:szCs w:val="24"/>
          <w:lang w:eastAsia="zh-CN" w:bidi="ar-SA"/>
          <w14:ligatures w14:val="none"/>
        </w:rPr>
        <w:br w:type="page"/>
      </w:r>
    </w:p>
    <w:p w14:paraId="4D8BA9DA">
      <w:pPr>
        <w:spacing w:after="0" w:line="240" w:lineRule="auto"/>
        <w:jc w:val="center"/>
        <w:rPr>
          <w:rFonts w:hint="eastAsia" w:ascii="方正小标宋_GBK" w:hAnsi="方正小标宋_GBK" w:eastAsia="方正小标宋_GBK" w:cs="方正小标宋_GBK"/>
          <w:color w:val="000000"/>
          <w:kern w:val="2"/>
          <w:sz w:val="36"/>
          <w:szCs w:val="36"/>
          <w:lang w:val="en-US" w:eastAsia="zh-CN" w:bidi="ar-SA"/>
          <w14:ligatures w14:val="none"/>
        </w:rPr>
      </w:pPr>
      <w:r>
        <w:rPr>
          <w:rFonts w:hint="eastAsia" w:ascii="方正小标宋_GBK" w:hAnsi="方正小标宋_GBK" w:eastAsia="方正小标宋_GBK" w:cs="方正小标宋_GBK"/>
          <w:color w:val="000000"/>
          <w:kern w:val="2"/>
          <w:sz w:val="36"/>
          <w:szCs w:val="36"/>
          <w:lang w:eastAsia="zh-CN" w:bidi="ar-SA"/>
          <w14:ligatures w14:val="none"/>
        </w:rPr>
        <w:t>成都市第二人民医院</w:t>
      </w:r>
      <w:r>
        <w:rPr>
          <w:rFonts w:hint="eastAsia" w:ascii="方正小标宋_GBK" w:hAnsi="方正小标宋_GBK" w:eastAsia="方正小标宋_GBK" w:cs="方正小标宋_GBK"/>
          <w:color w:val="000000"/>
          <w:kern w:val="2"/>
          <w:sz w:val="36"/>
          <w:szCs w:val="36"/>
          <w:lang w:val="en-US" w:eastAsia="zh-CN" w:bidi="ar-SA"/>
          <w14:ligatures w14:val="none"/>
        </w:rPr>
        <w:t>眼科数智诊疗平台建设</w:t>
      </w:r>
    </w:p>
    <w:p w14:paraId="62EC2AF4">
      <w:pPr>
        <w:spacing w:after="0" w:line="240" w:lineRule="auto"/>
        <w:jc w:val="center"/>
        <w:rPr>
          <w:rFonts w:ascii="方正小标宋简体" w:hAnsi="方正小标宋简体" w:eastAsia="方正小标宋_GBK" w:cs="Times New Roman"/>
          <w:color w:val="000000"/>
          <w:kern w:val="2"/>
          <w:sz w:val="36"/>
          <w:szCs w:val="36"/>
          <w:lang w:eastAsia="zh-CN" w:bidi="ar-SA"/>
          <w14:ligatures w14:val="none"/>
        </w:rPr>
      </w:pPr>
      <w:r>
        <w:rPr>
          <w:rFonts w:hint="eastAsia" w:ascii="方正小标宋_GBK" w:hAnsi="方正小标宋_GBK" w:eastAsia="方正小标宋_GBK" w:cs="方正小标宋_GBK"/>
          <w:color w:val="000000"/>
          <w:kern w:val="2"/>
          <w:sz w:val="36"/>
          <w:szCs w:val="36"/>
          <w:lang w:val="en-US" w:eastAsia="zh-CN" w:bidi="ar-SA"/>
          <w14:ligatures w14:val="none"/>
        </w:rPr>
        <w:t>项目</w:t>
      </w:r>
      <w:r>
        <w:rPr>
          <w:rFonts w:hint="eastAsia" w:ascii="方正小标宋_GBK" w:hAnsi="方正小标宋_GBK" w:eastAsia="方正小标宋_GBK" w:cs="方正小标宋_GBK"/>
          <w:color w:val="000000"/>
          <w:kern w:val="2"/>
          <w:sz w:val="36"/>
          <w:szCs w:val="36"/>
          <w:lang w:eastAsia="zh-CN" w:bidi="ar-SA"/>
          <w14:ligatures w14:val="none"/>
        </w:rPr>
        <w:t>建设方案</w:t>
      </w:r>
    </w:p>
    <w:p w14:paraId="6B081D47">
      <w:pPr>
        <w:spacing w:after="0" w:line="240" w:lineRule="auto"/>
        <w:jc w:val="center"/>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（模板）</w:t>
      </w:r>
    </w:p>
    <w:p w14:paraId="20FB277C">
      <w:pPr>
        <w:spacing w:after="0" w:line="240" w:lineRule="auto"/>
        <w:jc w:val="both"/>
        <w:rPr>
          <w:rFonts w:ascii="Calibri" w:hAnsi="Calibri" w:eastAsia="宋体" w:cs="Times New Roman"/>
          <w:color w:val="000000"/>
          <w:kern w:val="2"/>
          <w:sz w:val="24"/>
          <w:szCs w:val="24"/>
          <w:lang w:eastAsia="zh-CN" w:bidi="ar-SA"/>
          <w14:ligatures w14:val="none"/>
        </w:rPr>
      </w:pPr>
    </w:p>
    <w:p w14:paraId="194B85A3">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val="en-US" w:eastAsia="zh-CN" w:bidi="ar-SA"/>
          <w14:ligatures w14:val="none"/>
        </w:rPr>
        <w:t>一、</w:t>
      </w:r>
      <w:r>
        <w:rPr>
          <w:rFonts w:hint="eastAsia" w:ascii="仿宋" w:hAnsi="仿宋" w:eastAsia="仿宋" w:cs="Times New Roman"/>
          <w:color w:val="000000"/>
          <w:kern w:val="0"/>
          <w:sz w:val="28"/>
          <w:szCs w:val="28"/>
          <w:lang w:eastAsia="zh-CN" w:bidi="ar-SA"/>
          <w14:ligatures w14:val="none"/>
        </w:rPr>
        <w:t>需求xxx</w:t>
      </w:r>
    </w:p>
    <w:p w14:paraId="69CCBE43">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1．需求xxx</w:t>
      </w:r>
    </w:p>
    <w:p w14:paraId="26F1587A">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回复：（是/否完全响应）</w:t>
      </w:r>
    </w:p>
    <w:p w14:paraId="0F750BC8">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具体方案：</w:t>
      </w:r>
    </w:p>
    <w:p w14:paraId="65921D1F">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2.需求xxx</w:t>
      </w:r>
    </w:p>
    <w:p w14:paraId="1D12D566">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回复：（是/否完全响应）</w:t>
      </w:r>
    </w:p>
    <w:p w14:paraId="20341FE0">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具体方案：</w:t>
      </w:r>
    </w:p>
    <w:p w14:paraId="6BC05F96">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3.需求xxx</w:t>
      </w:r>
    </w:p>
    <w:p w14:paraId="28F5265F">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回复：（是/否完全响应）</w:t>
      </w:r>
    </w:p>
    <w:p w14:paraId="18750903">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具体方案：</w:t>
      </w:r>
    </w:p>
    <w:p w14:paraId="0FFF95C3">
      <w:pPr>
        <w:widowControl w:val="0"/>
        <w:spacing w:after="0" w:line="240" w:lineRule="auto"/>
        <w:rPr>
          <w:rFonts w:hint="eastAsia" w:ascii="Times New Roman" w:hAnsi="Times New Roman" w:eastAsia="宋体" w:cs="Times New Roman"/>
          <w:kern w:val="2"/>
          <w:sz w:val="24"/>
          <w:szCs w:val="24"/>
          <w:lang w:val="en-US" w:eastAsia="zh-CN" w:bidi="ar-SA"/>
          <w14:ligatures w14:val="none"/>
        </w:rPr>
      </w:pPr>
      <w:r>
        <w:rPr>
          <w:rFonts w:ascii="仿宋" w:hAnsi="仿宋" w:eastAsia="仿宋" w:cs="Times New Roman"/>
          <w:color w:val="000000"/>
          <w:kern w:val="0"/>
          <w:sz w:val="28"/>
          <w:szCs w:val="28"/>
          <w:lang w:val="en-US" w:eastAsia="zh-CN" w:bidi="ar-SA"/>
          <w14:ligatures w14:val="none"/>
        </w:rPr>
        <w:t>二、其它</w:t>
      </w:r>
    </w:p>
    <w:p w14:paraId="130D70D4">
      <w:pPr>
        <w:pStyle w:val="16"/>
        <w:spacing w:after="0" w:line="240" w:lineRule="auto"/>
        <w:rPr>
          <w:color w:val="auto"/>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9B4487B-BB40-4681-B7BF-EEBDA1F4788C}"/>
  </w:font>
  <w:font w:name="Arial">
    <w:panose1 w:val="020B0604020202020204"/>
    <w:charset w:val="01"/>
    <w:family w:val="swiss"/>
    <w:pitch w:val="default"/>
    <w:sig w:usb0="E0002EFF" w:usb1="C000785B" w:usb2="00000009" w:usb3="00000000" w:csb0="400001FF" w:csb1="FFFF0000"/>
    <w:embedRegular r:id="rId2" w:fontKey="{17AC8C1B-19E5-4BD7-BBE1-75C62022A12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F46E74E8-0158-49BE-AF3E-D8FF39287E25}"/>
  </w:font>
  <w:font w:name="Symbol">
    <w:panose1 w:val="05050102010706020507"/>
    <w:charset w:val="02"/>
    <w:family w:val="roman"/>
    <w:pitch w:val="default"/>
    <w:sig w:usb0="00000000" w:usb1="00000000" w:usb2="00000000" w:usb3="00000000" w:csb0="80000000" w:csb1="00000000"/>
    <w:embedRegular r:id="rId4" w:fontKey="{F9750DE0-EA77-4C9A-8D08-8E94F4F27CD9}"/>
  </w:font>
  <w:font w:name="Calibri">
    <w:panose1 w:val="020F0502020204030204"/>
    <w:charset w:val="00"/>
    <w:family w:val="swiss"/>
    <w:pitch w:val="default"/>
    <w:sig w:usb0="E4002EFF" w:usb1="C000247B" w:usb2="00000009" w:usb3="00000000" w:csb0="200001FF" w:csb1="00000000"/>
    <w:embedRegular r:id="rId5" w:fontKey="{248ABBCA-9B31-4708-AEBB-97D92B85051B}"/>
  </w:font>
  <w:font w:name="等线 Light">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embedRegular r:id="rId6" w:fontKey="{605DEDC8-6E07-4409-A169-3CF48537183F}"/>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embedRegular r:id="rId7" w:fontKey="{A21C4BFF-0D58-4B01-9D83-A93BF6479721}"/>
  </w:font>
  <w:font w:name="仿宋">
    <w:panose1 w:val="02010609060101010101"/>
    <w:charset w:val="86"/>
    <w:family w:val="auto"/>
    <w:pitch w:val="default"/>
    <w:sig w:usb0="800002BF" w:usb1="38CF7CFA" w:usb2="00000016" w:usb3="00000000" w:csb0="00040001" w:csb1="00000000"/>
    <w:embedRegular r:id="rId8" w:fontKey="{94865921-3882-4B87-9828-73681E46B3DA}"/>
  </w:font>
  <w:font w:name="方正小标宋简体">
    <w:panose1 w:val="02000000000000000000"/>
    <w:charset w:val="86"/>
    <w:family w:val="script"/>
    <w:pitch w:val="default"/>
    <w:sig w:usb0="00000001" w:usb1="08000000" w:usb2="00000000" w:usb3="00000000" w:csb0="00040000" w:csb1="00000000"/>
    <w:embedRegular r:id="rId9" w:fontKey="{A2319B4C-35C1-479C-8132-F5FC184E39D6}"/>
  </w:font>
  <w:font w:name="方正小标宋_GBK">
    <w:panose1 w:val="03000509000000000000"/>
    <w:charset w:val="86"/>
    <w:family w:val="script"/>
    <w:pitch w:val="default"/>
    <w:sig w:usb0="00000001" w:usb1="080E0000" w:usb2="00000000" w:usb3="00000000" w:csb0="00040000" w:csb1="00000000"/>
    <w:embedRegular r:id="rId10" w:fontKey="{1F585202-BAAF-4DED-868B-934121C4BF5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8C11C">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390BB">
                          <w:pPr>
                            <w:pStyle w:val="14"/>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C390BB">
                    <w:pPr>
                      <w:pStyle w:val="14"/>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BEA49F"/>
    <w:multiLevelType w:val="multilevel"/>
    <w:tmpl w:val="ADBEA49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AAC462B"/>
    <w:multiLevelType w:val="multilevel"/>
    <w:tmpl w:val="BAAC462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C2976ABC"/>
    <w:multiLevelType w:val="multilevel"/>
    <w:tmpl w:val="C2976AB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F74C1BC4"/>
    <w:multiLevelType w:val="multilevel"/>
    <w:tmpl w:val="F74C1BC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F013AF3"/>
    <w:multiLevelType w:val="multilevel"/>
    <w:tmpl w:val="0F013AF3"/>
    <w:lvl w:ilvl="0" w:tentative="0">
      <w:start w:val="1"/>
      <w:numFmt w:val="decimal"/>
      <w:pStyle w:val="42"/>
      <w:suff w:val="nothing"/>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5">
    <w:nsid w:val="21DE6740"/>
    <w:multiLevelType w:val="multilevel"/>
    <w:tmpl w:val="21DE6740"/>
    <w:lvl w:ilvl="0" w:tentative="0">
      <w:start w:val="1"/>
      <w:numFmt w:val="chineseCountingThousand"/>
      <w:pStyle w:val="2"/>
      <w:suff w:val="nothing"/>
      <w:lvlText w:val="%1、"/>
      <w:lvlJc w:val="left"/>
      <w:pPr>
        <w:ind w:left="0" w:firstLine="0"/>
      </w:pPr>
      <w:rPr>
        <w:rFonts w:hint="default" w:ascii="Times New Roman" w:hAnsi="Times New Roman" w:eastAsia="黑体" w:cs="Times New Roman"/>
        <w:b/>
        <w:i w:val="0"/>
        <w:iCs w:val="0"/>
        <w:caps w:val="0"/>
        <w:smallCaps w:val="0"/>
        <w:strike w:val="0"/>
        <w:dstrike w:val="0"/>
        <w:color w:val="000000"/>
        <w:spacing w:val="0"/>
        <w:kern w:val="0"/>
        <w:position w:val="0"/>
        <w:sz w:val="30"/>
        <w:u w:val="none"/>
        <w:vertAlign w:val="baseline"/>
        <w14:shadow w14:blurRad="0" w14:dist="0" w14:dir="0" w14:sx="0" w14:sy="0" w14:kx="0" w14:ky="0" w14:algn="none">
          <w14:srgbClr w14:val="000000"/>
        </w14:shadow>
      </w:rPr>
    </w:lvl>
    <w:lvl w:ilvl="1" w:tentative="0">
      <w:start w:val="1"/>
      <w:numFmt w:val="decimal"/>
      <w:pStyle w:val="3"/>
      <w:isLgl/>
      <w:suff w:val="nothing"/>
      <w:lvlText w:val="%1.%2"/>
      <w:lvlJc w:val="left"/>
      <w:pPr>
        <w:ind w:left="0" w:firstLine="0"/>
      </w:pPr>
      <w:rPr>
        <w:rFonts w:hint="default" w:ascii="Times New Roman" w:hAnsi="Times New Roman" w:eastAsia="黑体" w:cs="Times New Roman"/>
        <w:b/>
        <w:bCs/>
        <w:i w:val="0"/>
        <w:iCs w:val="0"/>
        <w:caps w:val="0"/>
        <w:smallCaps w:val="0"/>
        <w:strike w:val="0"/>
        <w:dstrike w:val="0"/>
        <w:color w:val="000000"/>
        <w:spacing w:val="0"/>
        <w:position w:val="0"/>
        <w:sz w:val="30"/>
        <w:szCs w:val="32"/>
        <w:u w:val="none"/>
        <w:vertAlign w:val="baseline"/>
        <w14:shadow w14:blurRad="0" w14:dist="0" w14:dir="0" w14:sx="0" w14:sy="0" w14:kx="0" w14:ky="0" w14:algn="none">
          <w14:srgbClr w14:val="000000"/>
        </w14:shadow>
      </w:rPr>
    </w:lvl>
    <w:lvl w:ilvl="2" w:tentative="0">
      <w:start w:val="1"/>
      <w:numFmt w:val="decimal"/>
      <w:pStyle w:val="4"/>
      <w:isLgl/>
      <w:suff w:val="nothing"/>
      <w:lvlText w:val="%1.%2.%3"/>
      <w:lvlJc w:val="left"/>
      <w:pPr>
        <w:ind w:left="0" w:firstLine="0"/>
      </w:pPr>
      <w:rPr>
        <w:rFonts w:hint="default" w:ascii="Times New Roman" w:hAnsi="Times New Roman" w:eastAsia="黑体" w:cs="Times New Roman"/>
        <w:b/>
        <w:bCs/>
        <w:i w:val="0"/>
        <w:sz w:val="28"/>
        <w:szCs w:val="28"/>
      </w:rPr>
    </w:lvl>
    <w:lvl w:ilvl="3" w:tentative="0">
      <w:start w:val="1"/>
      <w:numFmt w:val="decimal"/>
      <w:pStyle w:val="5"/>
      <w:isLgl/>
      <w:suff w:val="nothing"/>
      <w:lvlText w:val="%1.%2.%3.%4"/>
      <w:lvlJc w:val="left"/>
      <w:pPr>
        <w:ind w:left="0" w:firstLine="0"/>
      </w:pPr>
      <w:rPr>
        <w:rFonts w:hint="default" w:ascii="Times New Roman" w:hAnsi="Times New Roman" w:eastAsia="黑体" w:cs="Times New Roman"/>
        <w:b/>
        <w:i w:val="0"/>
        <w:iCs w:val="0"/>
        <w:caps w:val="0"/>
        <w:smallCaps w:val="0"/>
        <w:strike w:val="0"/>
        <w:dstrike w:val="0"/>
        <w:color w:val="000000"/>
        <w:spacing w:val="0"/>
        <w:kern w:val="0"/>
        <w:position w:val="0"/>
        <w:sz w:val="28"/>
        <w:u w:val="none"/>
        <w:vertAlign w:val="baseline"/>
        <w14:shadow w14:blurRad="0" w14:dist="0" w14:dir="0" w14:sx="0" w14:sy="0" w14:kx="0" w14:ky="0" w14:algn="none">
          <w14:srgbClr w14:val="000000"/>
        </w14:shadow>
      </w:rPr>
    </w:lvl>
    <w:lvl w:ilvl="4" w:tentative="0">
      <w:start w:val="1"/>
      <w:numFmt w:val="decimal"/>
      <w:pStyle w:val="6"/>
      <w:isLgl/>
      <w:suff w:val="nothing"/>
      <w:lvlText w:val="%1.%2.%3.%4.%5"/>
      <w:lvlJc w:val="left"/>
      <w:pPr>
        <w:ind w:left="0" w:firstLine="0"/>
      </w:pPr>
      <w:rPr>
        <w:rFonts w:hint="default" w:ascii="Times New Roman" w:hAnsi="Times New Roman" w:eastAsia="黑体" w:cs="Times New Roman"/>
        <w:b/>
        <w:i w:val="0"/>
        <w:iCs w:val="0"/>
        <w:caps w:val="0"/>
        <w:smallCaps w:val="0"/>
        <w:strike w:val="0"/>
        <w:dstrike w:val="0"/>
        <w:color w:val="000000"/>
        <w:spacing w:val="0"/>
        <w:position w:val="0"/>
        <w:sz w:val="28"/>
        <w:u w:val="none"/>
        <w:vertAlign w:val="baseline"/>
        <w14:shadow w14:blurRad="0" w14:dist="0" w14:dir="0" w14:sx="0" w14:sy="0" w14:kx="0" w14:ky="0" w14:algn="none">
          <w14:srgbClr w14:val="000000"/>
        </w14:shadow>
      </w:rPr>
    </w:lvl>
    <w:lvl w:ilvl="5" w:tentative="0">
      <w:start w:val="1"/>
      <w:numFmt w:val="decimal"/>
      <w:pStyle w:val="7"/>
      <w:isLgl/>
      <w:suff w:val="nothing"/>
      <w:lvlText w:val="%1.%2.%3.%4.%5.%6"/>
      <w:lvlJc w:val="left"/>
      <w:pPr>
        <w:ind w:left="0" w:firstLine="0"/>
      </w:pPr>
      <w:rPr>
        <w:rFonts w:hint="default" w:ascii="Times New Roman" w:hAnsi="Times New Roman" w:eastAsia="黑体" w:cs="Times New Roman"/>
        <w:b/>
        <w:bCs/>
        <w:i w:val="0"/>
        <w:iCs w:val="0"/>
        <w:caps w:val="0"/>
        <w:smallCaps w:val="0"/>
        <w:strike w:val="0"/>
        <w:dstrike w:val="0"/>
        <w:color w:val="000000"/>
        <w:spacing w:val="0"/>
        <w:position w:val="0"/>
        <w:sz w:val="28"/>
        <w:u w:val="none"/>
        <w:vertAlign w:val="baseline"/>
        <w14:shadow w14:blurRad="0" w14:dist="0" w14:dir="0" w14:sx="0" w14:sy="0" w14:kx="0" w14:ky="0" w14:algn="none">
          <w14:srgbClr w14:val="000000"/>
        </w14:shadow>
      </w:rPr>
    </w:lvl>
    <w:lvl w:ilvl="6" w:tentative="0">
      <w:start w:val="1"/>
      <w:numFmt w:val="decimal"/>
      <w:pStyle w:val="8"/>
      <w:isLgl/>
      <w:suff w:val="nothing"/>
      <w:lvlText w:val="%1.%2.%3.%4.%5.%6.%7"/>
      <w:lvlJc w:val="left"/>
      <w:pPr>
        <w:ind w:left="0" w:firstLine="0"/>
      </w:pPr>
      <w:rPr>
        <w:rFonts w:hint="default" w:ascii="Times New Roman" w:hAnsi="Times New Roman" w:eastAsia="黑体" w:cs="Times New Roman"/>
        <w:b/>
        <w:bCs/>
        <w:i w:val="0"/>
        <w:iCs w:val="0"/>
        <w:caps w:val="0"/>
        <w:smallCaps w:val="0"/>
        <w:strike w:val="0"/>
        <w:dstrike w:val="0"/>
        <w:color w:val="000000"/>
        <w:spacing w:val="0"/>
        <w:position w:val="0"/>
        <w:sz w:val="28"/>
        <w:szCs w:val="28"/>
        <w:u w:val="none"/>
        <w:vertAlign w:val="baseline"/>
        <w14:shadow w14:blurRad="0" w14:dist="0" w14:dir="0" w14:sx="0" w14:sy="0" w14:kx="0" w14:ky="0" w14:algn="none">
          <w14:srgbClr w14:val="000000"/>
        </w14:shadow>
      </w:rPr>
    </w:lvl>
    <w:lvl w:ilvl="7" w:tentative="0">
      <w:start w:val="1"/>
      <w:numFmt w:val="decimal"/>
      <w:pStyle w:val="9"/>
      <w:isLgl/>
      <w:suff w:val="nothing"/>
      <w:lvlText w:val="%1.%2.%3.%4.%5.%6.%7.%8"/>
      <w:lvlJc w:val="left"/>
      <w:pPr>
        <w:ind w:left="0" w:firstLine="0"/>
      </w:pPr>
      <w:rPr>
        <w:rFonts w:hint="default" w:ascii="Times New Roman" w:hAnsi="Times New Roman" w:eastAsia="黑体" w:cs="Times New Roman"/>
        <w:b/>
        <w:i w:val="0"/>
        <w:sz w:val="28"/>
      </w:rPr>
    </w:lvl>
    <w:lvl w:ilvl="8" w:tentative="0">
      <w:start w:val="1"/>
      <w:numFmt w:val="decimal"/>
      <w:pStyle w:val="10"/>
      <w:isLgl/>
      <w:suff w:val="nothing"/>
      <w:lvlText w:val="%1.%2.%3.%4.%5.%6.%7.%8.%9"/>
      <w:lvlJc w:val="left"/>
      <w:pPr>
        <w:ind w:left="0" w:firstLine="0"/>
      </w:pPr>
      <w:rPr>
        <w:rFonts w:hint="default" w:ascii="Times New Roman" w:hAnsi="Times New Roman" w:eastAsia="黑体"/>
        <w:b/>
        <w:i w:val="0"/>
        <w:sz w:val="28"/>
      </w:rPr>
    </w:lvl>
  </w:abstractNum>
  <w:abstractNum w:abstractNumId="6">
    <w:nsid w:val="351C881D"/>
    <w:multiLevelType w:val="multilevel"/>
    <w:tmpl w:val="351C881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EC30B45"/>
    <w:multiLevelType w:val="multilevel"/>
    <w:tmpl w:val="4EC30B4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A6FE54C"/>
    <w:multiLevelType w:val="singleLevel"/>
    <w:tmpl w:val="6A6FE54C"/>
    <w:lvl w:ilvl="0" w:tentative="0">
      <w:start w:val="2"/>
      <w:numFmt w:val="chineseCounting"/>
      <w:lvlText w:val="%1、"/>
      <w:lvlJc w:val="left"/>
    </w:lvl>
  </w:abstractNum>
  <w:num w:numId="1">
    <w:abstractNumId w:val="5"/>
  </w:num>
  <w:num w:numId="2">
    <w:abstractNumId w:val="4"/>
  </w:num>
  <w:num w:numId="3">
    <w:abstractNumId w:val="6"/>
  </w:num>
  <w:num w:numId="4">
    <w:abstractNumId w:val="0"/>
  </w:num>
  <w:num w:numId="5">
    <w:abstractNumId w:val="3"/>
  </w:num>
  <w:num w:numId="6">
    <w:abstractNumId w:val="2"/>
  </w:num>
  <w:num w:numId="7">
    <w:abstractNumId w:val="7"/>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5F2"/>
    <w:rsid w:val="000C2071"/>
    <w:rsid w:val="00401602"/>
    <w:rsid w:val="004060A7"/>
    <w:rsid w:val="00425E50"/>
    <w:rsid w:val="00696794"/>
    <w:rsid w:val="00B172D9"/>
    <w:rsid w:val="00CD35F2"/>
    <w:rsid w:val="16F738CA"/>
    <w:rsid w:val="23C15E1B"/>
    <w:rsid w:val="25833611"/>
    <w:rsid w:val="292D5F86"/>
    <w:rsid w:val="29D45724"/>
    <w:rsid w:val="34560BCE"/>
    <w:rsid w:val="36BA61F4"/>
    <w:rsid w:val="390F5C97"/>
    <w:rsid w:val="3B1D22B3"/>
    <w:rsid w:val="3E9C017D"/>
    <w:rsid w:val="41A718DE"/>
    <w:rsid w:val="6C4973C2"/>
    <w:rsid w:val="713708B1"/>
    <w:rsid w:val="71AE4C25"/>
    <w:rsid w:val="79BA3FFF"/>
    <w:rsid w:val="7B271C50"/>
    <w:rsid w:val="7B6F730F"/>
    <w:rsid w:val="7EC22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next w:val="1"/>
    <w:link w:val="28"/>
    <w:qFormat/>
    <w:uiPriority w:val="9"/>
    <w:pPr>
      <w:keepNext/>
      <w:keepLines/>
      <w:numPr>
        <w:ilvl w:val="0"/>
        <w:numId w:val="1"/>
      </w:numPr>
      <w:spacing w:before="120" w:after="120" w:line="360" w:lineRule="auto"/>
      <w:outlineLvl w:val="0"/>
    </w:pPr>
    <w:rPr>
      <w:rFonts w:ascii="Calibri" w:hAnsi="Calibri" w:eastAsia="黑体" w:cs="Times New Roman"/>
      <w:b/>
      <w:bCs/>
      <w:kern w:val="44"/>
      <w:sz w:val="30"/>
      <w:szCs w:val="44"/>
      <w:lang w:val="en-US" w:eastAsia="zh-CN" w:bidi="ar-SA"/>
    </w:rPr>
  </w:style>
  <w:style w:type="paragraph" w:styleId="3">
    <w:name w:val="heading 2"/>
    <w:next w:val="1"/>
    <w:link w:val="29"/>
    <w:unhideWhenUsed/>
    <w:qFormat/>
    <w:uiPriority w:val="0"/>
    <w:pPr>
      <w:keepNext/>
      <w:keepLines/>
      <w:numPr>
        <w:ilvl w:val="1"/>
        <w:numId w:val="1"/>
      </w:numPr>
      <w:spacing w:before="120" w:after="120" w:line="360" w:lineRule="auto"/>
      <w:outlineLvl w:val="1"/>
    </w:pPr>
    <w:rPr>
      <w:rFonts w:eastAsia="黑体" w:asciiTheme="majorHAnsi" w:hAnsiTheme="majorHAnsi" w:cstheme="majorBidi"/>
      <w:b/>
      <w:bCs/>
      <w:sz w:val="28"/>
      <w:szCs w:val="32"/>
      <w:lang w:val="en-US" w:eastAsia="zh-CN" w:bidi="ar-SA"/>
    </w:rPr>
  </w:style>
  <w:style w:type="paragraph" w:styleId="4">
    <w:name w:val="heading 3"/>
    <w:next w:val="1"/>
    <w:link w:val="30"/>
    <w:unhideWhenUsed/>
    <w:qFormat/>
    <w:uiPriority w:val="9"/>
    <w:pPr>
      <w:keepNext/>
      <w:keepLines/>
      <w:numPr>
        <w:ilvl w:val="2"/>
        <w:numId w:val="1"/>
      </w:numPr>
      <w:spacing w:before="120" w:after="120" w:line="360" w:lineRule="auto"/>
      <w:outlineLvl w:val="2"/>
    </w:pPr>
    <w:rPr>
      <w:rFonts w:ascii="黑体" w:hAnsi="黑体" w:eastAsia="黑体" w:cs="Times New Roman"/>
      <w:b/>
      <w:bCs/>
      <w:sz w:val="28"/>
      <w:szCs w:val="32"/>
      <w:lang w:val="en-US" w:eastAsia="zh-CN" w:bidi="ar-SA"/>
    </w:rPr>
  </w:style>
  <w:style w:type="paragraph" w:styleId="5">
    <w:name w:val="heading 4"/>
    <w:next w:val="1"/>
    <w:link w:val="31"/>
    <w:unhideWhenUsed/>
    <w:qFormat/>
    <w:uiPriority w:val="9"/>
    <w:pPr>
      <w:keepNext/>
      <w:keepLines/>
      <w:numPr>
        <w:ilvl w:val="3"/>
        <w:numId w:val="1"/>
      </w:numPr>
      <w:spacing w:before="120" w:after="120" w:line="360" w:lineRule="auto"/>
      <w:outlineLvl w:val="3"/>
    </w:pPr>
    <w:rPr>
      <w:rFonts w:ascii="黑体" w:hAnsi="黑体" w:eastAsia="黑体" w:cstheme="majorBidi"/>
      <w:b/>
      <w:bCs/>
      <w:sz w:val="28"/>
      <w:szCs w:val="28"/>
      <w:lang w:val="en-US" w:eastAsia="zh-CN" w:bidi="ar-SA"/>
    </w:rPr>
  </w:style>
  <w:style w:type="paragraph" w:styleId="6">
    <w:name w:val="heading 5"/>
    <w:next w:val="1"/>
    <w:link w:val="32"/>
    <w:unhideWhenUsed/>
    <w:qFormat/>
    <w:uiPriority w:val="9"/>
    <w:pPr>
      <w:keepNext/>
      <w:keepLines/>
      <w:numPr>
        <w:ilvl w:val="4"/>
        <w:numId w:val="1"/>
      </w:numPr>
      <w:spacing w:line="360" w:lineRule="auto"/>
      <w:outlineLvl w:val="4"/>
    </w:pPr>
    <w:rPr>
      <w:rFonts w:ascii="黑体" w:hAnsi="黑体" w:eastAsia="黑体" w:cs="Times New Roman"/>
      <w:b/>
      <w:bCs/>
      <w:sz w:val="28"/>
      <w:szCs w:val="28"/>
      <w:lang w:val="en-US" w:eastAsia="zh-CN" w:bidi="ar-SA"/>
    </w:rPr>
  </w:style>
  <w:style w:type="paragraph" w:styleId="7">
    <w:name w:val="heading 6"/>
    <w:next w:val="1"/>
    <w:link w:val="33"/>
    <w:unhideWhenUsed/>
    <w:qFormat/>
    <w:uiPriority w:val="9"/>
    <w:pPr>
      <w:keepNext/>
      <w:keepLines/>
      <w:numPr>
        <w:ilvl w:val="5"/>
        <w:numId w:val="1"/>
      </w:numPr>
      <w:spacing w:line="360" w:lineRule="auto"/>
      <w:outlineLvl w:val="5"/>
    </w:pPr>
    <w:rPr>
      <w:rFonts w:ascii="黑体" w:hAnsi="黑体" w:eastAsia="黑体" w:cstheme="majorBidi"/>
      <w:b/>
      <w:bCs/>
      <w:sz w:val="28"/>
      <w:szCs w:val="28"/>
      <w:lang w:val="en-US" w:eastAsia="zh-CN" w:bidi="ar-SA"/>
    </w:rPr>
  </w:style>
  <w:style w:type="paragraph" w:styleId="8">
    <w:name w:val="heading 7"/>
    <w:next w:val="1"/>
    <w:link w:val="34"/>
    <w:unhideWhenUsed/>
    <w:qFormat/>
    <w:uiPriority w:val="9"/>
    <w:pPr>
      <w:keepNext/>
      <w:keepLines/>
      <w:numPr>
        <w:ilvl w:val="6"/>
        <w:numId w:val="1"/>
      </w:numPr>
      <w:spacing w:line="360" w:lineRule="auto"/>
      <w:outlineLvl w:val="6"/>
    </w:pPr>
    <w:rPr>
      <w:rFonts w:ascii="黑体" w:hAnsi="黑体" w:eastAsia="黑体" w:cs="Times New Roman"/>
      <w:b/>
      <w:bCs/>
      <w:sz w:val="28"/>
      <w:szCs w:val="28"/>
      <w:lang w:val="en-US" w:eastAsia="zh-CN" w:bidi="ar-SA"/>
    </w:rPr>
  </w:style>
  <w:style w:type="paragraph" w:styleId="9">
    <w:name w:val="heading 8"/>
    <w:next w:val="1"/>
    <w:link w:val="35"/>
    <w:unhideWhenUsed/>
    <w:qFormat/>
    <w:uiPriority w:val="9"/>
    <w:pPr>
      <w:keepNext/>
      <w:keepLines/>
      <w:numPr>
        <w:ilvl w:val="7"/>
        <w:numId w:val="1"/>
      </w:numPr>
      <w:spacing w:line="360" w:lineRule="auto"/>
      <w:outlineLvl w:val="7"/>
    </w:pPr>
    <w:rPr>
      <w:rFonts w:ascii="黑体" w:hAnsi="黑体" w:eastAsia="黑体" w:cstheme="majorBidi"/>
      <w:b/>
      <w:kern w:val="2"/>
      <w:sz w:val="28"/>
      <w:szCs w:val="28"/>
      <w:lang w:val="en-US" w:eastAsia="zh-CN" w:bidi="ar-SA"/>
    </w:rPr>
  </w:style>
  <w:style w:type="paragraph" w:styleId="10">
    <w:name w:val="heading 9"/>
    <w:next w:val="1"/>
    <w:link w:val="36"/>
    <w:unhideWhenUsed/>
    <w:qFormat/>
    <w:uiPriority w:val="9"/>
    <w:pPr>
      <w:keepNext/>
      <w:keepLines/>
      <w:numPr>
        <w:ilvl w:val="8"/>
        <w:numId w:val="1"/>
      </w:numPr>
      <w:spacing w:before="240" w:after="64" w:line="320" w:lineRule="auto"/>
      <w:outlineLvl w:val="8"/>
    </w:pPr>
    <w:rPr>
      <w:rFonts w:eastAsia="黑体" w:asciiTheme="majorHAnsi" w:hAnsiTheme="majorHAnsi" w:cstheme="majorBidi"/>
      <w:kern w:val="2"/>
      <w:sz w:val="28"/>
      <w:szCs w:val="21"/>
      <w:lang w:val="en-US" w:eastAsia="zh-CN" w:bidi="ar-SA"/>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style>
  <w:style w:type="paragraph" w:styleId="12">
    <w:name w:val="Plain Text"/>
    <w:basedOn w:val="1"/>
    <w:next w:val="1"/>
    <w:link w:val="39"/>
    <w:qFormat/>
    <w:uiPriority w:val="99"/>
    <w:pPr>
      <w:spacing w:line="240" w:lineRule="auto"/>
      <w:jc w:val="both"/>
    </w:pPr>
    <w:rPr>
      <w:rFonts w:ascii="MingLiU" w:hAnsi="Cambria"/>
      <w:sz w:val="21"/>
      <w:szCs w:val="20"/>
    </w:rPr>
  </w:style>
  <w:style w:type="paragraph" w:styleId="13">
    <w:name w:val="Balloon Text"/>
    <w:basedOn w:val="1"/>
    <w:link w:val="24"/>
    <w:unhideWhenUsed/>
    <w:qFormat/>
    <w:uiPriority w:val="99"/>
    <w:rPr>
      <w:sz w:val="18"/>
      <w:szCs w:val="18"/>
    </w:rPr>
  </w:style>
  <w:style w:type="paragraph" w:styleId="14">
    <w:name w:val="footer"/>
    <w:basedOn w:val="1"/>
    <w:link w:val="26"/>
    <w:unhideWhenUsed/>
    <w:qFormat/>
    <w:uiPriority w:val="99"/>
    <w:pPr>
      <w:tabs>
        <w:tab w:val="center" w:pos="4153"/>
        <w:tab w:val="right" w:pos="8306"/>
      </w:tabs>
      <w:snapToGrid w:val="0"/>
    </w:pPr>
    <w:rPr>
      <w:sz w:val="18"/>
      <w:szCs w:val="18"/>
    </w:rPr>
  </w:style>
  <w:style w:type="paragraph" w:styleId="15">
    <w:name w:val="header"/>
    <w:basedOn w:val="1"/>
    <w:link w:val="25"/>
    <w:unhideWhenUsed/>
    <w:qFormat/>
    <w:uiPriority w:val="99"/>
    <w:pPr>
      <w:tabs>
        <w:tab w:val="center" w:pos="4153"/>
        <w:tab w:val="right" w:pos="8306"/>
      </w:tabs>
      <w:snapToGrid w:val="0"/>
      <w:jc w:val="center"/>
    </w:pPr>
    <w:rPr>
      <w:sz w:val="18"/>
      <w:szCs w:val="18"/>
    </w:rPr>
  </w:style>
  <w:style w:type="paragraph" w:styleId="16">
    <w:name w:val="Body Text 2"/>
    <w:basedOn w:val="1"/>
    <w:link w:val="37"/>
    <w:unhideWhenUsed/>
    <w:qFormat/>
    <w:uiPriority w:val="99"/>
    <w:pPr>
      <w:spacing w:after="120" w:line="480" w:lineRule="auto"/>
    </w:pPr>
  </w:style>
  <w:style w:type="paragraph" w:styleId="17">
    <w:name w:val="Normal (Web)"/>
    <w:basedOn w:val="1"/>
    <w:qFormat/>
    <w:uiPriority w:val="99"/>
    <w:pPr>
      <w:widowControl/>
      <w:spacing w:before="100" w:beforeAutospacing="1" w:after="100" w:afterAutospacing="1" w:line="240" w:lineRule="auto"/>
    </w:pPr>
    <w:rPr>
      <w:rFonts w:ascii="MingLiU" w:hAnsi="MingLiU"/>
      <w:kern w:val="0"/>
      <w:szCs w:val="20"/>
    </w:rPr>
  </w:style>
  <w:style w:type="paragraph" w:styleId="18">
    <w:name w:val="Title"/>
    <w:basedOn w:val="1"/>
    <w:next w:val="1"/>
    <w:link w:val="38"/>
    <w:qFormat/>
    <w:uiPriority w:val="0"/>
    <w:pPr>
      <w:jc w:val="center"/>
      <w:outlineLvl w:val="0"/>
    </w:pPr>
    <w:rPr>
      <w:rFonts w:ascii="宋体" w:hAnsi="宋体" w:cstheme="majorBidi"/>
      <w:i/>
      <w:iCs/>
      <w:sz w:val="22"/>
    </w:rPr>
  </w:style>
  <w:style w:type="character" w:styleId="21">
    <w:name w:val="Strong"/>
    <w:basedOn w:val="20"/>
    <w:qFormat/>
    <w:uiPriority w:val="22"/>
    <w:rPr>
      <w:b/>
    </w:rPr>
  </w:style>
  <w:style w:type="character" w:styleId="22">
    <w:name w:val="annotation reference"/>
    <w:basedOn w:val="20"/>
    <w:qFormat/>
    <w:uiPriority w:val="0"/>
    <w:rPr>
      <w:sz w:val="21"/>
      <w:szCs w:val="21"/>
    </w:rPr>
  </w:style>
  <w:style w:type="paragraph" w:customStyle="1" w:styleId="23">
    <w:name w:val="列出段落1"/>
    <w:basedOn w:val="1"/>
    <w:qFormat/>
    <w:uiPriority w:val="34"/>
    <w:pPr>
      <w:ind w:firstLine="420" w:firstLineChars="200"/>
    </w:pPr>
  </w:style>
  <w:style w:type="character" w:customStyle="1" w:styleId="24">
    <w:name w:val="批注框文本 字符"/>
    <w:basedOn w:val="20"/>
    <w:link w:val="13"/>
    <w:semiHidden/>
    <w:qFormat/>
    <w:uiPriority w:val="99"/>
    <w:rPr>
      <w:kern w:val="2"/>
      <w:sz w:val="18"/>
      <w:szCs w:val="18"/>
    </w:rPr>
  </w:style>
  <w:style w:type="character" w:customStyle="1" w:styleId="25">
    <w:name w:val="页眉 字符"/>
    <w:basedOn w:val="20"/>
    <w:link w:val="15"/>
    <w:qFormat/>
    <w:uiPriority w:val="99"/>
    <w:rPr>
      <w:kern w:val="2"/>
      <w:sz w:val="18"/>
      <w:szCs w:val="18"/>
      <w14:ligatures w14:val="none"/>
    </w:rPr>
  </w:style>
  <w:style w:type="character" w:customStyle="1" w:styleId="26">
    <w:name w:val="页脚 字符"/>
    <w:basedOn w:val="20"/>
    <w:link w:val="14"/>
    <w:qFormat/>
    <w:uiPriority w:val="99"/>
    <w:rPr>
      <w:kern w:val="2"/>
      <w:sz w:val="18"/>
      <w:szCs w:val="18"/>
      <w14:ligatures w14:val="none"/>
    </w:rPr>
  </w:style>
  <w:style w:type="paragraph" w:customStyle="1" w:styleId="27">
    <w:name w:val="Default"/>
    <w:qFormat/>
    <w:uiPriority w:val="0"/>
    <w:pPr>
      <w:widowControl w:val="0"/>
      <w:autoSpaceDE w:val="0"/>
      <w:autoSpaceDN w:val="0"/>
      <w:adjustRightInd w:val="0"/>
    </w:pPr>
    <w:rPr>
      <w:rFonts w:ascii="MingLiU" w:hAnsi="Times New Roman" w:eastAsia="MingLiU" w:cs="Times New Roman"/>
      <w:color w:val="000000"/>
      <w:sz w:val="24"/>
      <w:szCs w:val="24"/>
      <w:lang w:val="en-US" w:eastAsia="zh-CN" w:bidi="ar-SA"/>
    </w:rPr>
  </w:style>
  <w:style w:type="character" w:customStyle="1" w:styleId="28">
    <w:name w:val="标题 1 字符"/>
    <w:basedOn w:val="20"/>
    <w:link w:val="2"/>
    <w:qFormat/>
    <w:uiPriority w:val="9"/>
    <w:rPr>
      <w:rFonts w:ascii="Calibri" w:hAnsi="Calibri" w:eastAsia="黑体"/>
      <w:b/>
      <w:bCs/>
      <w:kern w:val="44"/>
      <w:sz w:val="30"/>
      <w:szCs w:val="44"/>
      <w14:ligatures w14:val="none"/>
    </w:rPr>
  </w:style>
  <w:style w:type="character" w:customStyle="1" w:styleId="29">
    <w:name w:val="标题 2 字符"/>
    <w:basedOn w:val="20"/>
    <w:link w:val="3"/>
    <w:qFormat/>
    <w:uiPriority w:val="0"/>
    <w:rPr>
      <w:rFonts w:eastAsia="黑体" w:asciiTheme="majorHAnsi" w:hAnsiTheme="majorHAnsi" w:cstheme="majorBidi"/>
      <w:b/>
      <w:bCs/>
      <w:sz w:val="28"/>
      <w:szCs w:val="32"/>
      <w14:ligatures w14:val="none"/>
    </w:rPr>
  </w:style>
  <w:style w:type="character" w:customStyle="1" w:styleId="30">
    <w:name w:val="标题 3 字符"/>
    <w:basedOn w:val="20"/>
    <w:link w:val="4"/>
    <w:qFormat/>
    <w:uiPriority w:val="9"/>
    <w:rPr>
      <w:rFonts w:ascii="黑体" w:hAnsi="黑体" w:eastAsia="黑体"/>
      <w:b/>
      <w:bCs/>
      <w:sz w:val="28"/>
      <w:szCs w:val="32"/>
      <w14:ligatures w14:val="none"/>
    </w:rPr>
  </w:style>
  <w:style w:type="character" w:customStyle="1" w:styleId="31">
    <w:name w:val="标题 4 字符"/>
    <w:basedOn w:val="20"/>
    <w:link w:val="5"/>
    <w:qFormat/>
    <w:uiPriority w:val="9"/>
    <w:rPr>
      <w:rFonts w:ascii="黑体" w:hAnsi="黑体" w:eastAsia="黑体" w:cstheme="majorBidi"/>
      <w:b/>
      <w:bCs/>
      <w:sz w:val="28"/>
      <w:szCs w:val="28"/>
      <w14:ligatures w14:val="none"/>
    </w:rPr>
  </w:style>
  <w:style w:type="character" w:customStyle="1" w:styleId="32">
    <w:name w:val="标题 5 字符"/>
    <w:basedOn w:val="20"/>
    <w:link w:val="6"/>
    <w:qFormat/>
    <w:uiPriority w:val="9"/>
    <w:rPr>
      <w:rFonts w:ascii="黑体" w:hAnsi="黑体" w:eastAsia="黑体"/>
      <w:b/>
      <w:bCs/>
      <w:sz w:val="28"/>
      <w:szCs w:val="28"/>
      <w14:ligatures w14:val="none"/>
    </w:rPr>
  </w:style>
  <w:style w:type="character" w:customStyle="1" w:styleId="33">
    <w:name w:val="标题 6 字符"/>
    <w:basedOn w:val="20"/>
    <w:link w:val="7"/>
    <w:qFormat/>
    <w:uiPriority w:val="9"/>
    <w:rPr>
      <w:rFonts w:ascii="黑体" w:hAnsi="黑体" w:eastAsia="黑体" w:cstheme="majorBidi"/>
      <w:b/>
      <w:bCs/>
      <w:sz w:val="28"/>
      <w:szCs w:val="28"/>
      <w14:ligatures w14:val="none"/>
    </w:rPr>
  </w:style>
  <w:style w:type="character" w:customStyle="1" w:styleId="34">
    <w:name w:val="标题 7 字符"/>
    <w:basedOn w:val="20"/>
    <w:link w:val="8"/>
    <w:qFormat/>
    <w:uiPriority w:val="9"/>
    <w:rPr>
      <w:rFonts w:ascii="黑体" w:hAnsi="黑体" w:eastAsia="黑体"/>
      <w:b/>
      <w:bCs/>
      <w:sz w:val="28"/>
      <w:szCs w:val="28"/>
      <w14:ligatures w14:val="none"/>
    </w:rPr>
  </w:style>
  <w:style w:type="character" w:customStyle="1" w:styleId="35">
    <w:name w:val="标题 8 字符"/>
    <w:basedOn w:val="20"/>
    <w:link w:val="9"/>
    <w:qFormat/>
    <w:uiPriority w:val="9"/>
    <w:rPr>
      <w:rFonts w:ascii="黑体" w:hAnsi="黑体" w:eastAsia="黑体" w:cstheme="majorBidi"/>
      <w:b/>
      <w:kern w:val="2"/>
      <w:sz w:val="28"/>
      <w:szCs w:val="28"/>
      <w14:ligatures w14:val="none"/>
    </w:rPr>
  </w:style>
  <w:style w:type="character" w:customStyle="1" w:styleId="36">
    <w:name w:val="标题 9 字符"/>
    <w:basedOn w:val="20"/>
    <w:link w:val="10"/>
    <w:qFormat/>
    <w:uiPriority w:val="9"/>
    <w:rPr>
      <w:rFonts w:eastAsia="黑体" w:asciiTheme="majorHAnsi" w:hAnsiTheme="majorHAnsi" w:cstheme="majorBidi"/>
      <w:kern w:val="2"/>
      <w:sz w:val="28"/>
      <w:szCs w:val="21"/>
      <w14:ligatures w14:val="none"/>
    </w:rPr>
  </w:style>
  <w:style w:type="character" w:customStyle="1" w:styleId="37">
    <w:name w:val="正文文本 2 字符"/>
    <w:basedOn w:val="20"/>
    <w:link w:val="16"/>
    <w:qFormat/>
    <w:uiPriority w:val="99"/>
    <w:rPr>
      <w:kern w:val="2"/>
      <w:sz w:val="24"/>
      <w:szCs w:val="24"/>
      <w14:ligatures w14:val="none"/>
    </w:rPr>
  </w:style>
  <w:style w:type="character" w:customStyle="1" w:styleId="38">
    <w:name w:val="标题 字符"/>
    <w:basedOn w:val="20"/>
    <w:link w:val="18"/>
    <w:qFormat/>
    <w:uiPriority w:val="0"/>
    <w:rPr>
      <w:rFonts w:ascii="宋体" w:hAnsi="宋体" w:cstheme="majorBidi"/>
      <w:i/>
      <w:iCs/>
      <w:kern w:val="2"/>
      <w:sz w:val="22"/>
      <w:szCs w:val="24"/>
      <w14:ligatures w14:val="none"/>
    </w:rPr>
  </w:style>
  <w:style w:type="character" w:customStyle="1" w:styleId="39">
    <w:name w:val="纯文本 字符"/>
    <w:basedOn w:val="20"/>
    <w:link w:val="12"/>
    <w:qFormat/>
    <w:uiPriority w:val="99"/>
    <w:rPr>
      <w:rFonts w:ascii="MingLiU" w:hAnsi="Cambria"/>
      <w:kern w:val="2"/>
      <w:sz w:val="21"/>
      <w14:ligatures w14:val="none"/>
    </w:rPr>
  </w:style>
  <w:style w:type="character" w:customStyle="1" w:styleId="40">
    <w:name w:val="纯文本 字符2"/>
    <w:qFormat/>
    <w:uiPriority w:val="0"/>
    <w:rPr>
      <w:rFonts w:ascii="宋体" w:hAnsi="Courier New" w:eastAsia="宋体" w:cs="Times New Roman"/>
      <w:kern w:val="0"/>
      <w:szCs w:val="20"/>
    </w:rPr>
  </w:style>
  <w:style w:type="paragraph" w:customStyle="1" w:styleId="41">
    <w:name w:val="列表段落1"/>
    <w:basedOn w:val="1"/>
    <w:qFormat/>
    <w:uiPriority w:val="34"/>
    <w:pPr>
      <w:ind w:firstLine="420" w:firstLineChars="200"/>
    </w:pPr>
  </w:style>
  <w:style w:type="paragraph" w:customStyle="1" w:styleId="42">
    <w:name w:val="排序"/>
    <w:link w:val="43"/>
    <w:qFormat/>
    <w:uiPriority w:val="3"/>
    <w:pPr>
      <w:numPr>
        <w:ilvl w:val="0"/>
        <w:numId w:val="2"/>
      </w:numPr>
      <w:spacing w:line="360" w:lineRule="auto"/>
      <w:ind w:firstLine="200" w:firstLineChars="200"/>
    </w:pPr>
    <w:rPr>
      <w:rFonts w:ascii="宋体" w:hAnsi="宋体" w:eastAsia="宋体" w:cstheme="minorBidi"/>
      <w:kern w:val="2"/>
      <w:sz w:val="24"/>
      <w:szCs w:val="24"/>
      <w:lang w:val="en-US" w:eastAsia="zh-CN" w:bidi="ar-SA"/>
    </w:rPr>
  </w:style>
  <w:style w:type="character" w:customStyle="1" w:styleId="43">
    <w:name w:val="排序 字符"/>
    <w:basedOn w:val="20"/>
    <w:link w:val="42"/>
    <w:qFormat/>
    <w:uiPriority w:val="3"/>
    <w:rPr>
      <w:rFonts w:ascii="宋体" w:hAnsi="宋体" w:cstheme="minorBidi"/>
      <w:kern w:val="2"/>
      <w:sz w:val="24"/>
      <w:szCs w:val="24"/>
    </w:rPr>
  </w:style>
  <w:style w:type="character" w:customStyle="1" w:styleId="44">
    <w:name w:val="font21"/>
    <w:basedOn w:val="20"/>
    <w:qFormat/>
    <w:uiPriority w:val="0"/>
    <w:rPr>
      <w:rFonts w:hint="eastAsia" w:ascii="宋体" w:hAnsi="宋体" w:eastAsia="宋体" w:cs="宋体"/>
      <w:color w:val="000000"/>
      <w:sz w:val="22"/>
      <w:szCs w:val="22"/>
      <w:u w:val="none"/>
    </w:rPr>
  </w:style>
  <w:style w:type="character" w:customStyle="1" w:styleId="45">
    <w:name w:val="font31"/>
    <w:basedOn w:val="20"/>
    <w:qFormat/>
    <w:uiPriority w:val="0"/>
    <w:rPr>
      <w:rFonts w:hint="eastAsia" w:ascii="宋体" w:hAnsi="宋体" w:eastAsia="宋体" w:cs="宋体"/>
      <w:color w:val="000000"/>
      <w:sz w:val="22"/>
      <w:szCs w:val="22"/>
      <w:u w:val="none"/>
    </w:rPr>
  </w:style>
  <w:style w:type="character" w:customStyle="1" w:styleId="46">
    <w:name w:val="font41"/>
    <w:basedOn w:val="20"/>
    <w:qFormat/>
    <w:uiPriority w:val="0"/>
    <w:rPr>
      <w:rFonts w:hint="eastAsia" w:ascii="宋体" w:hAnsi="宋体" w:eastAsia="宋体" w:cs="宋体"/>
      <w:color w:val="FF0000"/>
      <w:sz w:val="22"/>
      <w:szCs w:val="22"/>
      <w:u w:val="none"/>
    </w:rPr>
  </w:style>
  <w:style w:type="character" w:customStyle="1" w:styleId="47">
    <w:name w:val="font11"/>
    <w:basedOn w:val="20"/>
    <w:qFormat/>
    <w:uiPriority w:val="0"/>
    <w:rPr>
      <w:rFonts w:hint="eastAsia" w:ascii="宋体" w:hAnsi="宋体" w:eastAsia="宋体" w:cs="宋体"/>
      <w:color w:val="000000"/>
      <w:sz w:val="20"/>
      <w:szCs w:val="20"/>
      <w:u w:val="none"/>
    </w:rPr>
  </w:style>
  <w:style w:type="paragraph" w:customStyle="1" w:styleId="48">
    <w:name w:val="b63ee27f-4cf3-414c-9275-d88e3f90795e"/>
    <w:basedOn w:val="4"/>
    <w:next w:val="49"/>
    <w:link w:val="50"/>
    <w:qFormat/>
    <w:uiPriority w:val="0"/>
    <w:pPr>
      <w:adjustRightInd w:val="0"/>
      <w:snapToGrid w:val="0"/>
      <w:spacing w:before="0" w:after="0" w:line="288" w:lineRule="auto"/>
      <w:ind w:firstLine="100" w:firstLineChars="100"/>
      <w:contextualSpacing/>
    </w:pPr>
    <w:rPr>
      <w:rFonts w:ascii="微软雅黑" w:hAnsi="微软雅黑" w:eastAsia="微软雅黑" w:cs="宋体"/>
      <w:color w:val="000000"/>
      <w:sz w:val="26"/>
    </w:rPr>
  </w:style>
  <w:style w:type="paragraph" w:customStyle="1" w:styleId="49">
    <w:name w:val="acbfdd8b-e11b-4d36-88ff-6049b138f862"/>
    <w:basedOn w:val="1"/>
    <w:link w:val="51"/>
    <w:qFormat/>
    <w:uiPriority w:val="0"/>
    <w:pPr>
      <w:adjustRightInd w:val="0"/>
      <w:snapToGrid w:val="0"/>
      <w:spacing w:line="288" w:lineRule="auto"/>
      <w:ind w:firstLine="100" w:firstLineChars="100"/>
      <w:contextualSpacing/>
    </w:pPr>
    <w:rPr>
      <w:rFonts w:ascii="微软雅黑" w:hAnsi="微软雅黑" w:eastAsia="微软雅黑" w:cs="宋体"/>
      <w:color w:val="000000"/>
      <w:sz w:val="22"/>
    </w:rPr>
  </w:style>
  <w:style w:type="character" w:customStyle="1" w:styleId="50">
    <w:name w:val="b63ee27f-4cf3-414c-9275-d88e3f90795e 字符"/>
    <w:basedOn w:val="20"/>
    <w:link w:val="48"/>
    <w:qFormat/>
    <w:uiPriority w:val="0"/>
    <w:rPr>
      <w:rFonts w:ascii="微软雅黑" w:hAnsi="微软雅黑" w:eastAsia="微软雅黑" w:cs="宋体"/>
      <w:b/>
      <w:bCs/>
      <w:color w:val="000000"/>
      <w:sz w:val="26"/>
      <w:szCs w:val="32"/>
    </w:rPr>
  </w:style>
  <w:style w:type="character" w:customStyle="1" w:styleId="51">
    <w:name w:val="acbfdd8b-e11b-4d36-88ff-6049b138f862 字符"/>
    <w:basedOn w:val="20"/>
    <w:link w:val="49"/>
    <w:qFormat/>
    <w:uiPriority w:val="0"/>
    <w:rPr>
      <w:rFonts w:ascii="微软雅黑" w:hAnsi="微软雅黑" w:eastAsia="微软雅黑" w:cs="宋体"/>
      <w:color w:val="000000"/>
      <w:kern w:val="2"/>
      <w:sz w:val="22"/>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15</Pages>
  <Words>5670</Words>
  <Characters>5963</Characters>
  <Lines>338</Lines>
  <Paragraphs>333</Paragraphs>
  <TotalTime>0</TotalTime>
  <ScaleCrop>false</ScaleCrop>
  <LinksUpToDate>false</LinksUpToDate>
  <CharactersWithSpaces>5989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2023-08-24T02:11:00Z</dcterms:created>
  <dc:creator>Administrator</dc:creator>
  <cp:lastModifiedBy>陈柯岚</cp:lastModifiedBy>
  <cp:lastPrinted>2024-01-26T08:35:00Z</cp:lastPrinted>
  <dcterms:modified xsi:type="dcterms:W3CDTF">2026-08-26T10:36:05Z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99413873A9454ADD99BC3C47A5A68253_13</vt:lpwstr>
  </property>
  <property fmtid="{D5CDD505-2E9C-101B-9397-08002B2CF9AE}" pid="4" name="KSOTemplateDocerSaveRecord">
    <vt:lpwstr>eyJoZGlkIjoiNzFlMjMwZGJkMDk0NjRmNTA4MmJkNjU5M2Y3ZjRhZmEiLCJ1c2VySWQiOiIxMDEwNTk2NjIzIn0=</vt:lpwstr>
  </property>
</Properties>
</file>