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6E7C0">
      <w:pPr>
        <w:spacing w:line="650" w:lineRule="exact"/>
        <w:jc w:val="center"/>
        <w:rPr>
          <w:rFonts w:hint="eastAsia" w:ascii="方正小标宋_GBK" w:hAnsi="方正小标宋_GBK" w:eastAsia="方正小标宋_GBK" w:cs="方正小标宋_GBK"/>
          <w:b w:val="0"/>
          <w:bCs w:val="0"/>
          <w:color w:val="auto"/>
          <w:sz w:val="44"/>
          <w:szCs w:val="44"/>
          <w:highlight w:val="none"/>
          <w:lang w:eastAsia="zh-CN"/>
        </w:rPr>
      </w:pPr>
      <w:r>
        <w:rPr>
          <w:rFonts w:hint="eastAsia" w:ascii="方正小标宋_GBK" w:hAnsi="方正小标宋_GBK" w:eastAsia="方正小标宋_GBK" w:cs="方正小标宋_GBK"/>
          <w:b w:val="0"/>
          <w:bCs w:val="0"/>
          <w:color w:val="auto"/>
          <w:sz w:val="44"/>
          <w:szCs w:val="44"/>
          <w:highlight w:val="none"/>
          <w:lang w:eastAsia="zh-CN"/>
        </w:rPr>
        <w:t>医保移动支付改造服务需求</w:t>
      </w:r>
    </w:p>
    <w:p w14:paraId="04971C11">
      <w:pPr>
        <w:ind w:firstLine="480" w:firstLineChars="200"/>
        <w:rPr>
          <w:rFonts w:hint="eastAsia"/>
          <w:b w:val="0"/>
          <w:bCs w:val="0"/>
          <w:color w:val="auto"/>
          <w:highlight w:val="none"/>
          <w:lang w:eastAsia="zh-CN"/>
        </w:rPr>
      </w:pPr>
    </w:p>
    <w:p w14:paraId="1C0A441E">
      <w:pPr>
        <w:ind w:firstLine="480" w:firstLineChars="200"/>
        <w:rPr>
          <w:rFonts w:hint="eastAsia"/>
          <w:color w:val="auto"/>
          <w:highlight w:val="none"/>
          <w:lang w:eastAsia="zh-CN"/>
        </w:rPr>
      </w:pPr>
    </w:p>
    <w:p w14:paraId="66019041">
      <w:pPr>
        <w:keepNext w:val="0"/>
        <w:keepLines w:val="0"/>
        <w:pageBreakBefore w:val="0"/>
        <w:widowControl w:val="0"/>
        <w:kinsoku/>
        <w:wordWrap/>
        <w:overflowPunct/>
        <w:topLinePunct w:val="0"/>
        <w:autoSpaceDE/>
        <w:autoSpaceDN/>
        <w:bidi w:val="0"/>
        <w:adjustRightInd/>
        <w:snapToGrid/>
        <w:spacing w:line="440" w:lineRule="exact"/>
        <w:ind w:firstLine="321" w:firstLineChars="100"/>
        <w:textAlignment w:val="auto"/>
        <w:rPr>
          <w:rFonts w:hint="eastAsia" w:ascii="方正仿宋_GBK" w:hAnsi="方正仿宋_GBK" w:eastAsia="方正仿宋_GBK" w:cs="方正仿宋_GBK"/>
          <w:b/>
          <w:bCs/>
          <w:color w:val="auto"/>
          <w:sz w:val="32"/>
          <w:szCs w:val="32"/>
          <w:highlight w:val="none"/>
          <w:lang w:eastAsia="zh-CN"/>
        </w:rPr>
      </w:pPr>
      <w:r>
        <w:rPr>
          <w:rFonts w:hint="eastAsia" w:ascii="方正仿宋_GBK" w:hAnsi="方正仿宋_GBK" w:eastAsia="方正仿宋_GBK" w:cs="方正仿宋_GBK"/>
          <w:b/>
          <w:bCs/>
          <w:color w:val="auto"/>
          <w:sz w:val="32"/>
          <w:szCs w:val="32"/>
          <w:highlight w:val="none"/>
          <w:lang w:eastAsia="zh-CN"/>
        </w:rPr>
        <w:t>一、项目总体说明</w:t>
      </w:r>
    </w:p>
    <w:p w14:paraId="3940959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b w:val="0"/>
          <w:bCs w:val="0"/>
          <w:color w:val="auto"/>
          <w:sz w:val="28"/>
          <w:szCs w:val="28"/>
          <w:highlight w:val="none"/>
          <w:lang w:eastAsia="zh-CN"/>
        </w:rPr>
      </w:pPr>
      <w:r>
        <w:rPr>
          <w:rFonts w:hint="eastAsia" w:ascii="方正仿宋_GBK" w:hAnsi="方正仿宋_GBK" w:eastAsia="方正仿宋_GBK" w:cs="方正仿宋_GBK"/>
          <w:b w:val="0"/>
          <w:bCs w:val="0"/>
          <w:color w:val="auto"/>
          <w:sz w:val="28"/>
          <w:szCs w:val="28"/>
          <w:highlight w:val="none"/>
          <w:lang w:eastAsia="zh-CN"/>
        </w:rPr>
        <w:t>（一）项目背景与实施范围</w:t>
      </w:r>
    </w:p>
    <w:p w14:paraId="7168D71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本项目为医院门诊、住院全场景医保移动支付系统改造，实现医保电子凭证授权核验、多渠道混合支付、线上结算、订单管理、资金对账清分、异常处理等全流程能力；对接微信公众号、微信小程序、支付宝、四川医保APP四大渠道，同步完成院内HIS系统接口适配改造，配套提供平台管理、技术对接、落地指引及7×24小时运维保障服务。</w:t>
      </w:r>
    </w:p>
    <w:p w14:paraId="142A6E2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实施范围：全院门诊、普通住院、门诊特殊病种（门特），不含入出院登记相关HIS业务接口改造。</w:t>
      </w:r>
    </w:p>
    <w:p w14:paraId="74F1443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（二）所有开发、接口对接、数据交互严格遵循国家及四川省定点医药机构医保接口规范、医保电子凭证技术规范。</w:t>
      </w:r>
    </w:p>
    <w:p w14:paraId="035A2F1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全流程落实网络安全等级保护、医疗数据安全及个人信息保护要求，患者医保信息、就诊信息加密传输、存储，操作日志至少留存180天。</w:t>
      </w:r>
    </w:p>
    <w:p w14:paraId="074B29E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统一术语：混合支付=医保统筹支付+个人自费支付；单边账=支付状态在医保中台、支付渠道、HIS系统三方数据不一致的异常订单；门特=门诊特殊病种；定时任务默认按自然日执行，节假日顺延。</w:t>
      </w:r>
    </w:p>
    <w:p w14:paraId="598BFFC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系统支持虚拟机、物理服务器两种部署方式，部署环境需满足医院现有网络、安全、服务器配置要求，内外网按医院安全策略隔离，配置IP白名单、端口访问限制。</w:t>
      </w:r>
    </w:p>
    <w:p w14:paraId="2A039D8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（三）项目周期与交付要求</w:t>
      </w:r>
    </w:p>
    <w:p w14:paraId="38B0D2E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项目交付物：系统部署包、全套接口文档、前端操作手册、后台管理手册、运维手册、测试报告、联调日志。</w:t>
      </w:r>
    </w:p>
    <w:p w14:paraId="43007F7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免费运维期：自项目正式上线之日起3年，运维期内免费修复系统BUG，不包含新增业务需求、功能升级。</w:t>
      </w:r>
    </w:p>
    <w:p w14:paraId="73EB8D22">
      <w:pPr>
        <w:keepNext w:val="0"/>
        <w:keepLines w:val="0"/>
        <w:pageBreakBefore w:val="0"/>
        <w:widowControl w:val="0"/>
        <w:kinsoku/>
        <w:wordWrap/>
        <w:overflowPunct/>
        <w:topLinePunct w:val="0"/>
        <w:autoSpaceDE/>
        <w:autoSpaceDN/>
        <w:bidi w:val="0"/>
        <w:adjustRightInd/>
        <w:snapToGrid/>
        <w:spacing w:line="440" w:lineRule="exact"/>
        <w:ind w:firstLine="321" w:firstLineChars="100"/>
        <w:textAlignment w:val="auto"/>
        <w:rPr>
          <w:rFonts w:hint="eastAsia" w:ascii="方正仿宋_GBK" w:hAnsi="方正仿宋_GBK" w:eastAsia="方正仿宋_GBK" w:cs="方正仿宋_GBK"/>
          <w:b/>
          <w:bCs/>
          <w:color w:val="auto"/>
          <w:sz w:val="32"/>
          <w:szCs w:val="32"/>
          <w:highlight w:val="none"/>
          <w:lang w:eastAsia="zh-CN"/>
        </w:rPr>
      </w:pPr>
      <w:r>
        <w:rPr>
          <w:rFonts w:hint="eastAsia" w:ascii="方正仿宋_GBK" w:hAnsi="方正仿宋_GBK" w:eastAsia="方正仿宋_GBK" w:cs="方正仿宋_GBK"/>
          <w:b/>
          <w:bCs/>
          <w:color w:val="auto"/>
          <w:sz w:val="32"/>
          <w:szCs w:val="32"/>
          <w:highlight w:val="none"/>
          <w:lang w:eastAsia="zh-CN"/>
        </w:rPr>
        <w:t>二、门诊及住院移动支付对接服务</w:t>
      </w:r>
    </w:p>
    <w:p w14:paraId="3D6AD97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2.1基础能力建设服务</w:t>
      </w:r>
    </w:p>
    <w:p w14:paraId="05FE761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2.1.1医保电子凭证激活与授权服务</w:t>
      </w:r>
    </w:p>
    <w:p w14:paraId="2E53CED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用户发起医保相关操作时，系统自动校验医保电子凭证状态，未激活则引导线上一键激活，未授权则弹出授权提示。</w:t>
      </w:r>
    </w:p>
    <w:p w14:paraId="0AC15FE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与医保电子凭证中台实时交互，完成身份合法性校验、授权确认，支持凭证过期、授权拒绝、激活失败等异常场景弹窗提示与问题指引。</w:t>
      </w:r>
    </w:p>
    <w:p w14:paraId="70BA93D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保留授权日志。</w:t>
      </w:r>
    </w:p>
    <w:p w14:paraId="199943F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2.1.2线上医保身份核验服务</w:t>
      </w:r>
    </w:p>
    <w:p w14:paraId="4B69A4E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实现参保人员线上免密实时身份核验，支撑医保移动支付发起；针对核验失败、异地参保、参保状态异常等场景返回标准化提示信息，禁止非法人员发起医保结算。</w:t>
      </w:r>
    </w:p>
    <w:p w14:paraId="3C4E4E5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2.1.3医保移动支付核心能力</w:t>
      </w:r>
    </w:p>
    <w:p w14:paraId="79DFE2C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支持第三方支付渠道与医保组合支付，实现混合支付全流程闭环。</w:t>
      </w:r>
    </w:p>
    <w:p w14:paraId="568CF9A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可调用医保中台接口获取参保人员基础信息、参保类型、费用分割明细（待确认）等数据。</w:t>
      </w:r>
    </w:p>
    <w:p w14:paraId="58B1727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对接医保挂号交易接口，支持门特多病种结算，明确病种编码。</w:t>
      </w:r>
    </w:p>
    <w:p w14:paraId="0FEC5F4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费用明细上传：支持批量/单条上传结算费用明细，作为线上医保结算依据，记录上传时间、操作人员、上传状态。</w:t>
      </w:r>
    </w:p>
    <w:p w14:paraId="38AD1DD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支付下单与预结算：完成支付下单后，向用户清晰展示预结算结果，明细包含：总费用、医保统筹金额、个人账户支付金额、个人现金自费金额。</w:t>
      </w:r>
    </w:p>
    <w:p w14:paraId="3F20696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订单状态查询：HIS系统未收到支付回调时，可主动查询订单实时状态（待支付、支付成功、支付失败、已撤销、已退费、异常），支持定时轮询查询。</w:t>
      </w:r>
    </w:p>
    <w:p w14:paraId="1EBEC81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费用明细撤销：支持结算完成前撤销已上传费用明细，限制单次撤销次数，撤销后同步回滚医保中台、HIS系统数据，保留撤销操作日志；支持整单撤销、部分明细撤销。</w:t>
      </w:r>
    </w:p>
    <w:p w14:paraId="27A1E0B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结算单推送：医保结算完成后，自动向HIS、管理平台推送标准化结算清单（</w:t>
      </w:r>
      <w:r>
        <w:rPr>
          <w:rFonts w:hint="eastAsia" w:ascii="方正仿宋_GBK" w:hAnsi="方正仿宋_GBK" w:eastAsia="方正仿宋_GBK" w:cs="方正仿宋_GBK"/>
          <w:color w:val="auto"/>
          <w:sz w:val="28"/>
          <w:szCs w:val="28"/>
          <w:highlight w:val="none"/>
          <w:lang w:val="en-US" w:eastAsia="zh-CN"/>
        </w:rPr>
        <w:t>含费用明细清单）</w:t>
      </w:r>
      <w:r>
        <w:rPr>
          <w:rFonts w:hint="eastAsia" w:ascii="方正仿宋_GBK" w:hAnsi="方正仿宋_GBK" w:eastAsia="方正仿宋_GBK" w:cs="方正仿宋_GBK"/>
          <w:color w:val="auto"/>
          <w:sz w:val="28"/>
          <w:szCs w:val="28"/>
          <w:highlight w:val="none"/>
          <w:lang w:eastAsia="zh-CN"/>
        </w:rPr>
        <w:t>，支持PDF/图片格式清单生成与查看，接</w:t>
      </w:r>
      <w:r>
        <w:rPr>
          <w:rFonts w:hint="eastAsia" w:ascii="方正仿宋_GBK" w:hAnsi="方正仿宋_GBK" w:eastAsia="方正仿宋_GBK" w:cs="方正仿宋_GBK"/>
          <w:color w:val="auto"/>
          <w:sz w:val="28"/>
          <w:szCs w:val="28"/>
          <w:highlight w:val="none"/>
          <w:lang w:val="en-US" w:eastAsia="zh-CN"/>
        </w:rPr>
        <w:t>医院</w:t>
      </w:r>
      <w:r>
        <w:rPr>
          <w:rFonts w:hint="eastAsia" w:ascii="方正仿宋_GBK" w:hAnsi="方正仿宋_GBK" w:eastAsia="方正仿宋_GBK" w:cs="方正仿宋_GBK"/>
          <w:color w:val="auto"/>
          <w:sz w:val="28"/>
          <w:szCs w:val="28"/>
          <w:highlight w:val="none"/>
          <w:lang w:eastAsia="zh-CN"/>
        </w:rPr>
        <w:t>第三方电子</w:t>
      </w:r>
      <w:r>
        <w:rPr>
          <w:rFonts w:hint="eastAsia" w:ascii="方正仿宋_GBK" w:hAnsi="方正仿宋_GBK" w:eastAsia="方正仿宋_GBK" w:cs="方正仿宋_GBK"/>
          <w:color w:val="auto"/>
          <w:sz w:val="28"/>
          <w:szCs w:val="28"/>
          <w:highlight w:val="none"/>
          <w:lang w:val="en-US" w:eastAsia="zh-CN"/>
        </w:rPr>
        <w:t>票据平台（电子签章）</w:t>
      </w:r>
      <w:r>
        <w:rPr>
          <w:rFonts w:hint="eastAsia" w:ascii="方正仿宋_GBK" w:hAnsi="方正仿宋_GBK" w:eastAsia="方正仿宋_GBK" w:cs="方正仿宋_GBK"/>
          <w:color w:val="auto"/>
          <w:sz w:val="28"/>
          <w:szCs w:val="28"/>
          <w:highlight w:val="none"/>
          <w:lang w:eastAsia="zh-CN"/>
        </w:rPr>
        <w:t>。</w:t>
      </w:r>
    </w:p>
    <w:p w14:paraId="0652A5D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2.2管理平台服务</w:t>
      </w:r>
    </w:p>
    <w:p w14:paraId="5A5123A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2.2.1订单管理服务</w:t>
      </w:r>
    </w:p>
    <w:p w14:paraId="649A19C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全量医保移动支付订单集中展示，支持按时间、渠道、订单状态、就诊类型、金额等多条件筛选、查询、导出。</w:t>
      </w:r>
    </w:p>
    <w:p w14:paraId="10BAE78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展示订单日志：下单、支付、结算、撤销、退费、对账结果。</w:t>
      </w:r>
    </w:p>
    <w:p w14:paraId="4A3C311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2.2.2商户管理服务</w:t>
      </w:r>
    </w:p>
    <w:p w14:paraId="24ABC19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支持融合支付体系下商户信息查看、新增、编辑、停用、删除，商户信息变更全程留痕，配置信息同步至各支付渠道。</w:t>
      </w:r>
    </w:p>
    <w:p w14:paraId="19B9D3B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2.2.3应用管理服务</w:t>
      </w:r>
    </w:p>
    <w:p w14:paraId="7A12C6B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针对微信公众号、微信小程序、支付宝、四川医保APP等接入应用，提供应用信息查看、新增、编辑、停用、删除功能，可单独配置单应用启用/禁用状态。</w:t>
      </w:r>
    </w:p>
    <w:p w14:paraId="33F4676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2.2.4支付渠道管理服务</w:t>
      </w:r>
    </w:p>
    <w:p w14:paraId="6A7B917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支持支付宝、微信、银联、银行、医保支付等渠道的配置管理，包含渠道新增、编辑、停用、删除；可提供多渠道兼容支付。</w:t>
      </w:r>
    </w:p>
    <w:p w14:paraId="6F050C0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2.2.5系统管理服务</w:t>
      </w:r>
    </w:p>
    <w:p w14:paraId="63A51E7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角色权限划分：超级管理员、财务管理员、运营管理员、普通操作员、运维人员。</w:t>
      </w:r>
    </w:p>
    <w:p w14:paraId="03808FD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支持账号新增、修改、禁用、密码重置，按角色分配菜单权限、数据查看权限、操作权限，严格控制退费、撤销、出金等高风险操作权限。</w:t>
      </w:r>
    </w:p>
    <w:p w14:paraId="0CB64EF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2.2.6对账管理</w:t>
      </w:r>
    </w:p>
    <w:p w14:paraId="5674A75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自动对账：系统每日固定时间自动与HIS系统、银行清算系统、医院第三方对账平台。</w:t>
      </w:r>
    </w:p>
    <w:p w14:paraId="3564C57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手动对账：支持人工触发单日/指定时间段对账操作。</w:t>
      </w:r>
    </w:p>
    <w:p w14:paraId="0B38077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对账异常自动告警，生成对账差异报表，明确差异数据定位、核查流程。</w:t>
      </w:r>
    </w:p>
    <w:p w14:paraId="2BE1320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对账文件统一格式，支持在线预览、本地下载。</w:t>
      </w:r>
    </w:p>
    <w:p w14:paraId="4A2A3DA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2.2.7出金（资金清分）服务</w:t>
      </w:r>
    </w:p>
    <w:p w14:paraId="5F9C33D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自动出金：每日定时将医院商户资金划转至医院指定对公账户，节假日自动顺延。</w:t>
      </w:r>
    </w:p>
    <w:p w14:paraId="3E60C1B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手动出金：具备权限的管理员可人工触发出金操作，出金记录全程留痕。</w:t>
      </w:r>
    </w:p>
    <w:p w14:paraId="4CE7184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明确手续费扣除规则、T+N到账时效，出金失败自动重试并触发告警。</w:t>
      </w:r>
    </w:p>
    <w:p w14:paraId="7111E08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2.2.8异常账务处理</w:t>
      </w:r>
    </w:p>
    <w:p w14:paraId="32A0AA2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系统自动识别单边账订单并标记，支持人工核查。</w:t>
      </w:r>
    </w:p>
    <w:p w14:paraId="46F1ECE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提供单边账手动退费功能，区分医保全额退费、自费部分退费、混合支付拆分退费，退费资金按原支付路径原路退回。</w:t>
      </w:r>
    </w:p>
    <w:p w14:paraId="35D54CC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禁止跨结算周期违规退费，所有退费操作需留痕并关联审批记录。</w:t>
      </w:r>
    </w:p>
    <w:p w14:paraId="7AA905F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2.3渠道支持服务</w:t>
      </w:r>
    </w:p>
    <w:p w14:paraId="32E43BE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打通四大接入渠道，实现对应混合支付能力，各渠道相互独立、互为备用：</w:t>
      </w:r>
    </w:p>
    <w:p w14:paraId="76F9CAE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微信公众号：实现医保+微信自费混合支付。</w:t>
      </w:r>
    </w:p>
    <w:p w14:paraId="7CCDE91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支付宝：实现医保+支付宝自费混合支付。</w:t>
      </w:r>
    </w:p>
    <w:p w14:paraId="4D47CBA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四川医保APP：实现医保+银行自费混合支付。</w:t>
      </w:r>
    </w:p>
    <w:p w14:paraId="5DCB04A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微信小程序：实现医保+微信自费混合支付。</w:t>
      </w:r>
    </w:p>
    <w:p w14:paraId="106C6F5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各渠道统一结算规则、分账规则、对账口径。</w:t>
      </w:r>
    </w:p>
    <w:p w14:paraId="6F8CB1A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2.4接口服务</w:t>
      </w:r>
    </w:p>
    <w:p w14:paraId="1A2FC0C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2.4.1通用接口规范</w:t>
      </w:r>
    </w:p>
    <w:p w14:paraId="4F45CAB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所有接口采用HTTPS协议，统一加密算法、签名规则、报文格式、错误码体系；接口超时时间、请求重试次数按医保规范配置，接口调用失败返回标准化错误信息。</w:t>
      </w:r>
    </w:p>
    <w:p w14:paraId="2AAD5D4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2.4.2对接接口清单</w:t>
      </w:r>
    </w:p>
    <w:p w14:paraId="3A0E7C5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医保电子凭证中台接口：对接实现凭证激活、授权、状态核验全功能。</w:t>
      </w:r>
    </w:p>
    <w:p w14:paraId="1E17304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医保移动支付中台接口：对接实现下单、结算、查询、撤销、退费等核心医保支付能力。</w:t>
      </w:r>
    </w:p>
    <w:p w14:paraId="1C8B60A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HIS系统接口：调用HIS处方、费用、住院预交金、每日清单等数据；支持门诊、门特、住院费用明细上传、医保在线结算。</w:t>
      </w:r>
    </w:p>
    <w:p w14:paraId="0A4E734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结算查询接口：支持按订单号、就诊人、时间查询结算记录及结算详情，可查看门诊、住院全类型结算单。</w:t>
      </w:r>
    </w:p>
    <w:p w14:paraId="6256F38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账单下载接口：支持按时间段、渠道下载混合支付对账清单，文件格式支持Excel。</w:t>
      </w:r>
    </w:p>
    <w:p w14:paraId="261DE32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2.5接入指引服务</w:t>
      </w:r>
    </w:p>
    <w:p w14:paraId="44332D9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服务商全程协助医院完成全流程线上接入办理，明确双方资料提交、对接分工、办结时限：</w:t>
      </w:r>
    </w:p>
    <w:p w14:paraId="574950C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接入渠道申请指引：协助填写申请表、完成国家医保服务平台线上申报，指导资料准备、流程跟进，同步反馈办理进度。</w:t>
      </w:r>
    </w:p>
    <w:p w14:paraId="0C56483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银行商户开通指引：协助完成清算行二级商户开户流程，梳理开户所需资料、对接银行对接人，跟进开户进度。</w:t>
      </w:r>
    </w:p>
    <w:p w14:paraId="4F9C888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移动支付接入指引：指导医院完成自有APP、公众号、小程序等前端渠道的支付对接配置、测试上线。</w:t>
      </w:r>
    </w:p>
    <w:p w14:paraId="22E59DAE">
      <w:pPr>
        <w:keepNext w:val="0"/>
        <w:keepLines w:val="0"/>
        <w:pageBreakBefore w:val="0"/>
        <w:widowControl w:val="0"/>
        <w:kinsoku/>
        <w:wordWrap/>
        <w:overflowPunct/>
        <w:topLinePunct w:val="0"/>
        <w:autoSpaceDE/>
        <w:autoSpaceDN/>
        <w:bidi w:val="0"/>
        <w:adjustRightInd/>
        <w:snapToGrid/>
        <w:spacing w:line="440" w:lineRule="exact"/>
        <w:ind w:firstLine="321" w:firstLineChars="100"/>
        <w:textAlignment w:val="auto"/>
        <w:rPr>
          <w:rFonts w:hint="eastAsia" w:ascii="方正仿宋_GBK" w:hAnsi="方正仿宋_GBK" w:eastAsia="方正仿宋_GBK" w:cs="方正仿宋_GBK"/>
          <w:b/>
          <w:bCs/>
          <w:color w:val="auto"/>
          <w:sz w:val="32"/>
          <w:szCs w:val="32"/>
          <w:highlight w:val="none"/>
          <w:lang w:eastAsia="zh-CN"/>
        </w:rPr>
      </w:pPr>
      <w:r>
        <w:rPr>
          <w:rFonts w:hint="eastAsia" w:ascii="方正仿宋_GBK" w:hAnsi="方正仿宋_GBK" w:eastAsia="方正仿宋_GBK" w:cs="方正仿宋_GBK"/>
          <w:b/>
          <w:bCs/>
          <w:color w:val="auto"/>
          <w:sz w:val="32"/>
          <w:szCs w:val="32"/>
          <w:highlight w:val="none"/>
          <w:lang w:eastAsia="zh-CN"/>
        </w:rPr>
        <w:t>三、微信生活号（公众号）及小程序前端服务要求</w:t>
      </w:r>
    </w:p>
    <w:p w14:paraId="2722512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3.1住院缴费服务</w:t>
      </w:r>
    </w:p>
    <w:p w14:paraId="5771600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住院预交金查询与缴费：用户可在线查询住院预交金余额、缴费记录，支持线上自助缴费；缴费超时未支付则自动取消订单，并释放结算资源。</w:t>
      </w:r>
    </w:p>
    <w:p w14:paraId="6C341C0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住院每日清单查询：按日期展示住院每日费用明细，支持历史清单回溯，针对加载异常、数据缺失给出提示。</w:t>
      </w:r>
    </w:p>
    <w:p w14:paraId="3D163D2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3.2就诊人管理服务</w:t>
      </w:r>
    </w:p>
    <w:p w14:paraId="5A05268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就诊卡绑定：支持线上绑定院内门诊就诊卡，完成实名信息校验。</w:t>
      </w:r>
    </w:p>
    <w:p w14:paraId="7228A39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配套功能：支持就诊卡解绑、多名家庭成员就诊人管理、账号安全设置。</w:t>
      </w:r>
    </w:p>
    <w:p w14:paraId="6630F79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3.3订单管理服务</w:t>
      </w:r>
    </w:p>
    <w:p w14:paraId="5418100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以列表形式展示用户全渠道订单，包含订单类型、金额、状态、支付时间、结算信息，支持单条订单详情查看。</w:t>
      </w:r>
    </w:p>
    <w:p w14:paraId="5E8C03C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3.4医保移动支付前端服务</w:t>
      </w:r>
    </w:p>
    <w:p w14:paraId="07B978F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医保挂号：对接医保收银台，实现线上挂号+医保支付一体化，号源不足、挂号截止等场景正常提示。</w:t>
      </w:r>
    </w:p>
    <w:p w14:paraId="4940D1F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门诊及互联网医院缴费：对接医保收银台，完成门诊、互联网医院订单的医保支付、混合支付功能。</w:t>
      </w:r>
    </w:p>
    <w:p w14:paraId="00D108BE">
      <w:pPr>
        <w:keepNext w:val="0"/>
        <w:keepLines w:val="0"/>
        <w:pageBreakBefore w:val="0"/>
        <w:widowControl w:val="0"/>
        <w:kinsoku/>
        <w:wordWrap/>
        <w:overflowPunct/>
        <w:topLinePunct w:val="0"/>
        <w:autoSpaceDE/>
        <w:autoSpaceDN/>
        <w:bidi w:val="0"/>
        <w:adjustRightInd/>
        <w:snapToGrid/>
        <w:spacing w:line="440" w:lineRule="exact"/>
        <w:ind w:firstLine="321" w:firstLineChars="100"/>
        <w:textAlignment w:val="auto"/>
        <w:rPr>
          <w:rFonts w:hint="eastAsia" w:ascii="方正仿宋_GBK" w:hAnsi="方正仿宋_GBK" w:eastAsia="方正仿宋_GBK" w:cs="方正仿宋_GBK"/>
          <w:b/>
          <w:bCs/>
          <w:color w:val="auto"/>
          <w:sz w:val="32"/>
          <w:szCs w:val="32"/>
          <w:highlight w:val="none"/>
          <w:lang w:eastAsia="zh-CN"/>
        </w:rPr>
      </w:pPr>
      <w:r>
        <w:rPr>
          <w:rFonts w:hint="eastAsia" w:ascii="方正仿宋_GBK" w:hAnsi="方正仿宋_GBK" w:eastAsia="方正仿宋_GBK" w:cs="方正仿宋_GBK"/>
          <w:b/>
          <w:bCs/>
          <w:color w:val="auto"/>
          <w:sz w:val="32"/>
          <w:szCs w:val="32"/>
          <w:highlight w:val="none"/>
          <w:lang w:eastAsia="zh-CN"/>
        </w:rPr>
        <w:t>四、医院HIS系统接口改造服务</w:t>
      </w:r>
    </w:p>
    <w:p w14:paraId="580F5C9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严格依据现行四川省定点医药机构接口规范完成HIS接口改造，打通HIS与医保中台、移动支付平台的数据交互；支持处方汇总、费用明细上传、医保在线结算。</w:t>
      </w:r>
    </w:p>
    <w:p w14:paraId="6DDC0FE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适配支付宝、微信全流程在线结算场景，保障三方数据实时同步。</w:t>
      </w:r>
    </w:p>
    <w:p w14:paraId="4FED8B9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定义数据传输格式、交互频率、异常数据回滚机制，接口调用失败实时告警。</w:t>
      </w:r>
    </w:p>
    <w:p w14:paraId="682489A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完成门诊、门特、住院结算相关接口</w:t>
      </w:r>
      <w:r>
        <w:rPr>
          <w:rFonts w:hint="eastAsia" w:ascii="方正仿宋_GBK" w:hAnsi="方正仿宋_GBK" w:eastAsia="方正仿宋_GBK" w:cs="方正仿宋_GBK"/>
          <w:color w:val="auto"/>
          <w:sz w:val="28"/>
          <w:szCs w:val="28"/>
          <w:highlight w:val="none"/>
          <w:lang w:val="en-US" w:eastAsia="zh-CN"/>
        </w:rPr>
        <w:t>改造</w:t>
      </w:r>
      <w:r>
        <w:rPr>
          <w:rFonts w:hint="eastAsia" w:ascii="方正仿宋_GBK" w:hAnsi="方正仿宋_GBK" w:eastAsia="方正仿宋_GBK" w:cs="方正仿宋_GBK"/>
          <w:color w:val="auto"/>
          <w:sz w:val="28"/>
          <w:szCs w:val="28"/>
          <w:highlight w:val="none"/>
          <w:lang w:eastAsia="zh-CN"/>
        </w:rPr>
        <w:t>。</w:t>
      </w:r>
    </w:p>
    <w:p w14:paraId="68C52FA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val="en-US" w:eastAsia="zh-CN"/>
        </w:rPr>
        <w:t>系统涉及的所有第三方系统（包括但不限于HIS、LIS、PACS）及硬件设备的接口对接开发、联调、测试及运维费用，应全部包含在本次报价中，医院无需另行支付任何费用。</w:t>
      </w:r>
    </w:p>
    <w:p w14:paraId="6CE3815A">
      <w:pPr>
        <w:keepNext w:val="0"/>
        <w:keepLines w:val="0"/>
        <w:pageBreakBefore w:val="0"/>
        <w:widowControl w:val="0"/>
        <w:kinsoku/>
        <w:wordWrap/>
        <w:overflowPunct/>
        <w:topLinePunct w:val="0"/>
        <w:autoSpaceDE/>
        <w:autoSpaceDN/>
        <w:bidi w:val="0"/>
        <w:adjustRightInd/>
        <w:snapToGrid/>
        <w:spacing w:line="440" w:lineRule="exact"/>
        <w:ind w:firstLine="321" w:firstLineChars="100"/>
        <w:textAlignment w:val="auto"/>
        <w:rPr>
          <w:rFonts w:hint="eastAsia" w:ascii="方正仿宋_GBK" w:hAnsi="方正仿宋_GBK" w:eastAsia="方正仿宋_GBK" w:cs="方正仿宋_GBK"/>
          <w:b/>
          <w:bCs/>
          <w:color w:val="auto"/>
          <w:sz w:val="32"/>
          <w:szCs w:val="32"/>
          <w:highlight w:val="none"/>
          <w:lang w:eastAsia="zh-CN"/>
        </w:rPr>
      </w:pPr>
      <w:r>
        <w:rPr>
          <w:rFonts w:hint="eastAsia" w:ascii="方正仿宋_GBK" w:hAnsi="方正仿宋_GBK" w:eastAsia="方正仿宋_GBK" w:cs="方正仿宋_GBK"/>
          <w:b/>
          <w:bCs/>
          <w:color w:val="auto"/>
          <w:sz w:val="32"/>
          <w:szCs w:val="32"/>
          <w:highlight w:val="none"/>
          <w:lang w:eastAsia="zh-CN"/>
        </w:rPr>
        <w:t>五、服务保障要求</w:t>
      </w:r>
    </w:p>
    <w:p w14:paraId="2030963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5.1运维服务</w:t>
      </w:r>
    </w:p>
    <w:p w14:paraId="5D021F1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配置专职运维人员，提供7×24小时技术支持，划分故障等级并明确响应时效：</w:t>
      </w:r>
    </w:p>
    <w:p w14:paraId="3EBB447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一级故障（全业务中断、全院无法使用医保支付）：10分钟内响应，30分钟内远程排查，尽快恢复业务；</w:t>
      </w:r>
    </w:p>
    <w:p w14:paraId="2CDCC90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二级故障（单渠道/部分功能异常）：20分钟内响应，1小时内处置；</w:t>
      </w:r>
    </w:p>
    <w:p w14:paraId="5909065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三级问题（咨询、操作指导、零星报错）：30分钟内响应解答。</w:t>
      </w:r>
    </w:p>
    <w:p w14:paraId="0B671BC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建立应急响应机制，针对业务中断、网络异常、接口瘫痪等突发问题，制定应急处置方案，快速恢复业务运行。</w:t>
      </w:r>
    </w:p>
    <w:p w14:paraId="642086B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5.2系统巡检</w:t>
      </w:r>
    </w:p>
    <w:p w14:paraId="34A8EAD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每季度至少开展1次全系统全面巡检，巡检内容包含：接口连通性、订单状态、对账数据、服务器运行状态、安全漏洞、日志核查等，巡检完成后出具正式巡检报告提交医院。</w:t>
      </w:r>
    </w:p>
    <w:p w14:paraId="066327F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5.3问题修复</w:t>
      </w:r>
    </w:p>
    <w:p w14:paraId="4531A9C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质保期内免费修复系统BUG、程序缺陷、接口异常问题；BUG判定标准：功能与需求不一致、程序报错、数据错乱、结算异常等属于BUG；医院新增功能、业务规则变更、个性化定制属于新需求，不在免费修复范围内。</w:t>
      </w:r>
    </w:p>
    <w:p w14:paraId="1DF9DBD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5.4数据与备份</w:t>
      </w:r>
    </w:p>
    <w:p w14:paraId="6AF0AE5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系统配置自动数据备份策略，按日备份业务数据、日志数据，备份文件异地留存（需提供专用备份服务器）；支持数据恢复演练，保障数据安全。</w:t>
      </w:r>
    </w:p>
    <w:p w14:paraId="24D006C0">
      <w:pPr>
        <w:keepNext w:val="0"/>
        <w:keepLines w:val="0"/>
        <w:pageBreakBefore w:val="0"/>
        <w:widowControl w:val="0"/>
        <w:kinsoku/>
        <w:wordWrap/>
        <w:overflowPunct/>
        <w:topLinePunct w:val="0"/>
        <w:autoSpaceDE/>
        <w:autoSpaceDN/>
        <w:bidi w:val="0"/>
        <w:adjustRightInd/>
        <w:snapToGrid/>
        <w:spacing w:line="440" w:lineRule="exact"/>
        <w:ind w:firstLine="321" w:firstLineChars="100"/>
        <w:textAlignment w:val="auto"/>
        <w:rPr>
          <w:rFonts w:hint="eastAsia" w:ascii="方正仿宋_GBK" w:hAnsi="方正仿宋_GBK" w:eastAsia="方正仿宋_GBK" w:cs="方正仿宋_GBK"/>
          <w:b/>
          <w:bCs/>
          <w:color w:val="auto"/>
          <w:sz w:val="32"/>
          <w:szCs w:val="32"/>
          <w:highlight w:val="none"/>
          <w:lang w:eastAsia="zh-CN"/>
        </w:rPr>
      </w:pPr>
      <w:r>
        <w:rPr>
          <w:rFonts w:hint="eastAsia" w:ascii="方正仿宋_GBK" w:hAnsi="方正仿宋_GBK" w:eastAsia="方正仿宋_GBK" w:cs="方正仿宋_GBK"/>
          <w:b/>
          <w:bCs/>
          <w:color w:val="auto"/>
          <w:sz w:val="32"/>
          <w:szCs w:val="32"/>
          <w:highlight w:val="none"/>
          <w:lang w:eastAsia="zh-CN"/>
        </w:rPr>
        <w:t>六、验收标准</w:t>
      </w:r>
    </w:p>
    <w:p w14:paraId="1BC2650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功能验收：本需求文档所有功能 100% 实现，各渠道、接口正常运行，无功能性 BUG。</w:t>
      </w:r>
    </w:p>
    <w:p w14:paraId="3AC0C6B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性能验收：医保支付下单、结算、查询响应正常，高峰期无卡顿、超时、重复下单问题。</w:t>
      </w:r>
    </w:p>
    <w:p w14:paraId="6638F44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数据验收：三方（医保、支付渠道、HIS）数据一致，对账准确率 100%，无长期单边账。</w:t>
      </w:r>
    </w:p>
    <w:p w14:paraId="706911BD">
      <w:pPr>
        <w:keepNext w:val="0"/>
        <w:keepLines w:val="0"/>
        <w:pageBreakBefore w:val="0"/>
        <w:widowControl w:val="0"/>
        <w:kinsoku/>
        <w:wordWrap/>
        <w:overflowPunct/>
        <w:topLinePunct w:val="0"/>
        <w:autoSpaceDE/>
        <w:autoSpaceDN/>
        <w:bidi w:val="0"/>
        <w:adjustRightInd/>
        <w:snapToGrid/>
        <w:spacing w:line="440" w:lineRule="exact"/>
        <w:ind w:firstLine="321" w:firstLineChars="100"/>
        <w:textAlignment w:val="auto"/>
        <w:rPr>
          <w:rFonts w:hint="eastAsia" w:ascii="方正仿宋_GBK" w:hAnsi="方正仿宋_GBK" w:eastAsia="方正仿宋_GBK" w:cs="方正仿宋_GBK"/>
          <w:b/>
          <w:bCs/>
          <w:color w:val="auto"/>
          <w:sz w:val="32"/>
          <w:szCs w:val="32"/>
          <w:highlight w:val="none"/>
          <w:lang w:eastAsia="zh-CN"/>
        </w:rPr>
      </w:pPr>
      <w:r>
        <w:rPr>
          <w:rFonts w:hint="eastAsia" w:ascii="方正仿宋_GBK" w:hAnsi="方正仿宋_GBK" w:eastAsia="方正仿宋_GBK" w:cs="方正仿宋_GBK"/>
          <w:b/>
          <w:bCs/>
          <w:color w:val="auto"/>
          <w:sz w:val="32"/>
          <w:szCs w:val="32"/>
          <w:highlight w:val="none"/>
          <w:lang w:eastAsia="zh-CN"/>
        </w:rPr>
        <w:t>七、信息安全</w:t>
      </w:r>
    </w:p>
    <w:p w14:paraId="7C0B2B7D">
      <w:pPr>
        <w:pStyle w:val="1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1.系统需接入内网，必须支持医院部署基础安全保障措施（至少包括防火墙、入侵检测/防御（IDS/IPS）、防病毒、日志审计、终端管控），并根据医院的通知要求及时更新策略。</w:t>
      </w:r>
    </w:p>
    <w:p w14:paraId="0894A53A">
      <w:pPr>
        <w:pStyle w:val="1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2.系统要求能够支持目前通用的各类操作系统环境，同时满足国产化系统适配，具备兼容非国产化环境和国产化信创环境调试部署运行的能力。</w:t>
      </w:r>
    </w:p>
    <w:p w14:paraId="1B24D1C3">
      <w:pPr>
        <w:pStyle w:val="1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3.系统上线前需进行系统安全自评，并根据第三方漏洞扫描报告进行漏洞修复及安全加固，没有中高危漏洞方可接入内网；同时，每年定期根据系统安全评估报告和漏洞扫描报告结果进行漏洞修复及安全加固。</w:t>
      </w:r>
    </w:p>
    <w:p w14:paraId="07AC2491">
      <w:pPr>
        <w:pStyle w:val="1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4.云平台安全运维服务：提供三年云平台安全运维服务，至少提供：主机安全组件、云防火墙CFW（含入侵防御IPS模块）、Web应用防火墙WAF、日志审计、SSL证书、云主机备份、数据库审计。协助使用单位通过本系统进行安全测评，测评及时常运维中发现的信息安全问题及时整改完善，不再收取任何费用。</w:t>
      </w:r>
    </w:p>
    <w:p w14:paraId="4539547B">
      <w:pPr>
        <w:pStyle w:val="1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主机安全：提供病毒查杀、异常登录、暴力破解、漏洞扫描、基线检查安全功能。</w:t>
      </w:r>
    </w:p>
    <w:p w14:paraId="5182F1CE">
      <w:pPr>
        <w:pStyle w:val="1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云防火墙CFW（含入侵防御IPS）：必须内置入侵防御系统（IPS），支持黑名单功能，支持检测和自动拦截基于网络层的攻击行为，包括但不限于：漏洞利用、暴力破解、僵尸网络通信、挖矿程序、木马回连等；支持自动拦截模式。</w:t>
      </w:r>
    </w:p>
    <w:p w14:paraId="45F6C021">
      <w:pPr>
        <w:pStyle w:val="1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 xml:space="preserve"> Web应用防火墙WAF：提供OWASP Top 10常见Web攻击防护，包括SQL注入、XSS跨站脚本、命令注入等；支持DDoS防护功能，支持Bot管理，可识别并拦截恶意爬虫、垃圾注册等行为。</w:t>
      </w:r>
    </w:p>
    <w:p w14:paraId="777A5AF9">
      <w:pPr>
        <w:pStyle w:val="1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日志留存：支持对云防火墙CFW、服务器、主机安全、WAF的日志进行集中采集和存储；并保留不低于180天的日志信息。</w:t>
      </w:r>
    </w:p>
    <w:p w14:paraId="4522AB8A">
      <w:pPr>
        <w:pStyle w:val="1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云主机备份：对云服务器系统盘和数据盘进行自动备份；支持按时间点回滚，防止数据丢失。</w:t>
      </w:r>
    </w:p>
    <w:p w14:paraId="07296F51">
      <w:pPr>
        <w:pStyle w:val="12"/>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eastAsia="zh-CN"/>
        </w:rPr>
        <w:t>数据库审计：保留不低于180天的日志信息。审计信息能够记录执行时长、影响行数、执行结果描述、返回结果集；对数据库操作进行审计，记录SQL语句、执行时间、影响行数、源IP等信息。</w:t>
      </w:r>
    </w:p>
    <w:p w14:paraId="0031BCAC">
      <w:pPr>
        <w:keepNext w:val="0"/>
        <w:keepLines w:val="0"/>
        <w:pageBreakBefore w:val="0"/>
        <w:widowControl w:val="0"/>
        <w:kinsoku/>
        <w:wordWrap/>
        <w:overflowPunct/>
        <w:topLinePunct w:val="0"/>
        <w:autoSpaceDE/>
        <w:autoSpaceDN/>
        <w:bidi w:val="0"/>
        <w:adjustRightInd/>
        <w:snapToGrid/>
        <w:spacing w:line="440" w:lineRule="exact"/>
        <w:ind w:firstLine="321" w:firstLineChars="100"/>
        <w:textAlignment w:val="auto"/>
        <w:rPr>
          <w:rFonts w:hint="eastAsia" w:ascii="方正仿宋_GBK" w:hAnsi="方正仿宋_GBK" w:eastAsia="方正仿宋_GBK" w:cs="方正仿宋_GBK"/>
          <w:b/>
          <w:bCs/>
          <w:color w:val="auto"/>
          <w:sz w:val="32"/>
          <w:szCs w:val="32"/>
          <w:highlight w:val="none"/>
          <w:lang w:eastAsia="zh-CN"/>
        </w:rPr>
      </w:pPr>
      <w:r>
        <w:rPr>
          <w:rFonts w:hint="eastAsia" w:ascii="方正仿宋_GBK" w:hAnsi="方正仿宋_GBK" w:eastAsia="方正仿宋_GBK" w:cs="方正仿宋_GBK"/>
          <w:b/>
          <w:bCs/>
          <w:color w:val="auto"/>
          <w:sz w:val="32"/>
          <w:szCs w:val="32"/>
          <w:highlight w:val="none"/>
          <w:lang w:eastAsia="zh-CN"/>
        </w:rPr>
        <w:t>八、资源配置要求</w:t>
      </w:r>
    </w:p>
    <w:p w14:paraId="26DC53DB">
      <w:pPr>
        <w:pStyle w:val="6"/>
        <w:ind w:firstLine="560" w:firstLineChars="200"/>
        <w:rPr>
          <w:rFonts w:hint="eastAsia" w:ascii="方正仿宋_GBK" w:hAnsi="方正仿宋_GBK" w:eastAsia="方正仿宋_GBK" w:cs="方正仿宋_GBK"/>
          <w:color w:val="auto"/>
          <w:kern w:val="0"/>
          <w:sz w:val="28"/>
          <w:szCs w:val="28"/>
          <w:highlight w:val="none"/>
          <w:lang w:val="en-US" w:eastAsia="zh-CN" w:bidi="en-US"/>
        </w:rPr>
      </w:pPr>
      <w:r>
        <w:rPr>
          <w:rFonts w:hint="eastAsia" w:ascii="方正仿宋_GBK" w:hAnsi="方正仿宋_GBK" w:eastAsia="方正仿宋_GBK" w:cs="方正仿宋_GBK"/>
          <w:color w:val="auto"/>
          <w:kern w:val="0"/>
          <w:sz w:val="28"/>
          <w:szCs w:val="28"/>
          <w:highlight w:val="none"/>
          <w:lang w:val="en-US" w:eastAsia="zh-CN" w:bidi="en-US"/>
        </w:rPr>
        <w:t>供应商应结合自身产品架构及项目实际使用需求，向采购人提供本项目实施所需服务器、操作系统、数据库的使用权，使用期限自项目最终验收合格之日起不少于 3 年。本项目涉及的中央处理器、操作系统、数据库产品，必须列入中国信息安全测评中心或国家保密科技测评中心发布的安全可靠测评结果公告名单。</w:t>
      </w:r>
    </w:p>
    <w:p w14:paraId="29C3DFC3">
      <w:pPr>
        <w:tabs>
          <w:tab w:val="left" w:pos="2310"/>
        </w:tabs>
        <w:spacing w:line="360" w:lineRule="auto"/>
        <w:ind w:right="480" w:rightChars="200" w:firstLine="560" w:firstLineChars="200"/>
        <w:jc w:val="left"/>
        <w:rPr>
          <w:rFonts w:hint="eastAsia" w:ascii="方正仿宋_GBK" w:hAnsi="方正仿宋_GBK" w:eastAsia="方正仿宋_GBK" w:cs="方正仿宋_GBK"/>
          <w:color w:val="auto"/>
          <w:kern w:val="0"/>
          <w:sz w:val="28"/>
          <w:szCs w:val="28"/>
          <w:highlight w:val="none"/>
          <w:lang w:val="en-US" w:eastAsia="zh-CN" w:bidi="en-US"/>
        </w:rPr>
      </w:pPr>
      <w:r>
        <w:rPr>
          <w:rFonts w:hint="eastAsia" w:ascii="方正仿宋_GBK" w:hAnsi="方正仿宋_GBK" w:eastAsia="方正仿宋_GBK" w:cs="方正仿宋_GBK"/>
          <w:color w:val="auto"/>
          <w:kern w:val="0"/>
          <w:sz w:val="28"/>
          <w:szCs w:val="28"/>
          <w:highlight w:val="none"/>
          <w:lang w:val="en-US" w:eastAsia="zh-CN" w:bidi="en-US"/>
        </w:rPr>
        <w:t>在本项目运维服务周期内，若出现计算、存储等系统资源不足，无法满足业务正常运行的，供应商须无偿对系统资源进行补充、扩容扩展，上述全部相关费用已包含在本项目总报价中，采购人无需另行支付任何费用。</w:t>
      </w:r>
    </w:p>
    <w:p w14:paraId="507399ED">
      <w:pPr>
        <w:widowControl w:val="0"/>
        <w:spacing w:after="0" w:line="240" w:lineRule="auto"/>
        <w:rPr>
          <w:rFonts w:hint="eastAsia" w:ascii="Times New Roman" w:hAnsi="Times New Roman" w:eastAsia="宋体" w:cs="Times New Roman"/>
          <w:kern w:val="2"/>
          <w:sz w:val="24"/>
          <w:szCs w:val="24"/>
          <w:lang w:val="en-US" w:eastAsia="zh-CN" w:bidi="ar-SA"/>
          <w14:ligatures w14:val="none"/>
        </w:rPr>
      </w:pPr>
    </w:p>
    <w:p w14:paraId="1A84C570">
      <w:pPr>
        <w:spacing w:line="360" w:lineRule="auto"/>
        <w:rPr>
          <w:rFonts w:hint="eastAsia" w:ascii="Times New Roman" w:hAnsi="Times New Roman" w:eastAsia="宋体" w:cs="Times New Roman"/>
          <w:kern w:val="2"/>
          <w:lang w:val="en-US" w:eastAsia="zh-CN" w:bidi="ar-SA"/>
          <w14:ligatures w14:val="none"/>
        </w:rPr>
      </w:pPr>
      <w:r>
        <w:rPr>
          <w:rFonts w:hint="eastAsia" w:ascii="Times New Roman" w:hAnsi="Times New Roman" w:eastAsia="宋体" w:cs="Times New Roman"/>
          <w:kern w:val="2"/>
          <w:lang w:val="en-US" w:eastAsia="zh-CN" w:bidi="ar-SA"/>
          <w14:ligatures w14:val="none"/>
        </w:rPr>
        <w:br w:type="page"/>
      </w:r>
    </w:p>
    <w:tbl>
      <w:tblPr>
        <w:tblStyle w:val="13"/>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8"/>
        <w:gridCol w:w="6127"/>
      </w:tblGrid>
      <w:tr w14:paraId="35C9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9195" w:type="dxa"/>
            <w:gridSpan w:val="2"/>
            <w:tcBorders>
              <w:top w:val="single" w:color="auto" w:sz="4" w:space="0"/>
              <w:left w:val="single" w:color="auto" w:sz="4" w:space="0"/>
              <w:bottom w:val="single" w:color="auto" w:sz="4" w:space="0"/>
              <w:right w:val="single" w:color="auto" w:sz="4" w:space="0"/>
            </w:tcBorders>
            <w:vAlign w:val="center"/>
          </w:tcPr>
          <w:p w14:paraId="4F932BB5">
            <w:pPr>
              <w:spacing w:after="156" w:afterLines="50" w:line="240" w:lineRule="auto"/>
              <w:jc w:val="center"/>
              <w:rPr>
                <w:rFonts w:ascii="Calibri" w:hAnsi="Calibri" w:eastAsia="宋体" w:cs="Times New Roman"/>
                <w:color w:val="000000"/>
                <w:kern w:val="2"/>
                <w:sz w:val="24"/>
                <w:szCs w:val="24"/>
                <w:lang w:eastAsia="zh-CN" w:bidi="ar-SA"/>
                <w14:ligatures w14:val="none"/>
              </w:rPr>
            </w:pPr>
            <w:r>
              <w:rPr>
                <w:rFonts w:hint="eastAsia" w:ascii="仿宋" w:hAnsi="仿宋" w:eastAsia="仿宋" w:cs="仿宋"/>
                <w:b/>
                <w:bCs/>
                <w:color w:val="000000"/>
                <w:kern w:val="2"/>
                <w:sz w:val="24"/>
                <w:szCs w:val="24"/>
                <w:lang w:eastAsia="zh-CN" w:bidi="ar"/>
                <w14:ligatures w14:val="none"/>
              </w:rPr>
              <w:t>厂商基本信息表</w:t>
            </w:r>
          </w:p>
        </w:tc>
      </w:tr>
      <w:tr w14:paraId="69C4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3068" w:type="dxa"/>
            <w:tcBorders>
              <w:top w:val="single" w:color="auto" w:sz="4" w:space="0"/>
              <w:left w:val="single" w:color="auto" w:sz="4" w:space="0"/>
              <w:bottom w:val="single" w:color="auto" w:sz="4" w:space="0"/>
              <w:right w:val="single" w:color="auto" w:sz="4" w:space="0"/>
            </w:tcBorders>
            <w:vAlign w:val="center"/>
          </w:tcPr>
          <w:p w14:paraId="50630FFA">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产品相关产业发展情况（请详述全国产业情况及本公司发展情况）</w:t>
            </w:r>
          </w:p>
        </w:tc>
        <w:tc>
          <w:tcPr>
            <w:tcW w:w="6127" w:type="dxa"/>
            <w:tcBorders>
              <w:top w:val="single" w:color="auto" w:sz="4" w:space="0"/>
              <w:left w:val="single" w:color="auto" w:sz="4" w:space="0"/>
              <w:bottom w:val="single" w:color="auto" w:sz="4" w:space="0"/>
              <w:right w:val="single" w:color="auto" w:sz="4" w:space="0"/>
            </w:tcBorders>
            <w:vAlign w:val="center"/>
          </w:tcPr>
          <w:p w14:paraId="5A96BC9D">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文字描述</w:t>
            </w:r>
          </w:p>
          <w:p w14:paraId="6B1689A8">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1.全国情况：</w:t>
            </w:r>
          </w:p>
          <w:p w14:paraId="352F1A0A">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2.本公司情况：</w:t>
            </w:r>
          </w:p>
        </w:tc>
      </w:tr>
      <w:tr w14:paraId="77F3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3068" w:type="dxa"/>
            <w:tcBorders>
              <w:top w:val="single" w:color="auto" w:sz="4" w:space="0"/>
              <w:left w:val="single" w:color="auto" w:sz="4" w:space="0"/>
              <w:bottom w:val="single" w:color="auto" w:sz="4" w:space="0"/>
              <w:right w:val="single" w:color="auto" w:sz="4" w:space="0"/>
            </w:tcBorders>
            <w:vAlign w:val="center"/>
          </w:tcPr>
          <w:p w14:paraId="019607ED">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产品市场供给情况（简述本公司年供给情况，且另附佐证材料）</w:t>
            </w:r>
          </w:p>
        </w:tc>
        <w:tc>
          <w:tcPr>
            <w:tcW w:w="6127" w:type="dxa"/>
            <w:tcBorders>
              <w:top w:val="single" w:color="auto" w:sz="4" w:space="0"/>
              <w:left w:val="single" w:color="auto" w:sz="4" w:space="0"/>
              <w:bottom w:val="single" w:color="auto" w:sz="4" w:space="0"/>
              <w:right w:val="single" w:color="auto" w:sz="4" w:space="0"/>
            </w:tcBorders>
            <w:vAlign w:val="center"/>
          </w:tcPr>
          <w:p w14:paraId="2CC31247">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文字描述</w:t>
            </w:r>
          </w:p>
        </w:tc>
      </w:tr>
      <w:tr w14:paraId="0AFB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3068" w:type="dxa"/>
            <w:tcBorders>
              <w:top w:val="single" w:color="auto" w:sz="4" w:space="0"/>
              <w:left w:val="single" w:color="auto" w:sz="4" w:space="0"/>
              <w:bottom w:val="single" w:color="auto" w:sz="4" w:space="0"/>
              <w:right w:val="single" w:color="auto" w:sz="4" w:space="0"/>
            </w:tcBorders>
            <w:vAlign w:val="center"/>
          </w:tcPr>
          <w:p w14:paraId="67FA8B02">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同类产品成交情况（进三年的成交情况，且另附佐证材料）</w:t>
            </w:r>
          </w:p>
        </w:tc>
        <w:tc>
          <w:tcPr>
            <w:tcW w:w="6127" w:type="dxa"/>
            <w:tcBorders>
              <w:top w:val="single" w:color="auto" w:sz="4" w:space="0"/>
              <w:left w:val="single" w:color="auto" w:sz="4" w:space="0"/>
              <w:bottom w:val="single" w:color="auto" w:sz="4" w:space="0"/>
              <w:right w:val="single" w:color="auto" w:sz="4" w:space="0"/>
            </w:tcBorders>
            <w:vAlign w:val="center"/>
          </w:tcPr>
          <w:p w14:paraId="06AD7626">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文字描述</w:t>
            </w:r>
          </w:p>
        </w:tc>
      </w:tr>
      <w:tr w14:paraId="5A23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3068" w:type="dxa"/>
            <w:tcBorders>
              <w:top w:val="single" w:color="auto" w:sz="4" w:space="0"/>
              <w:left w:val="single" w:color="auto" w:sz="4" w:space="0"/>
              <w:bottom w:val="single" w:color="auto" w:sz="4" w:space="0"/>
              <w:right w:val="single" w:color="auto" w:sz="4" w:space="0"/>
            </w:tcBorders>
            <w:vAlign w:val="center"/>
          </w:tcPr>
          <w:p w14:paraId="3E31B752">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公司企业类型（另附佐证材料）</w:t>
            </w:r>
          </w:p>
        </w:tc>
        <w:tc>
          <w:tcPr>
            <w:tcW w:w="6127" w:type="dxa"/>
            <w:tcBorders>
              <w:top w:val="single" w:color="auto" w:sz="4" w:space="0"/>
              <w:left w:val="single" w:color="auto" w:sz="4" w:space="0"/>
              <w:bottom w:val="single" w:color="auto" w:sz="4" w:space="0"/>
              <w:right w:val="single" w:color="auto" w:sz="4" w:space="0"/>
            </w:tcBorders>
            <w:vAlign w:val="center"/>
          </w:tcPr>
          <w:p w14:paraId="11D0011C">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大型企业（）中型企业（）小型企业（）微型企业（）监狱企业（）其他</w:t>
            </w:r>
            <w:r>
              <w:rPr>
                <w:rFonts w:ascii="Calibri" w:hAnsi="Calibri" w:eastAsia="宋体" w:cs="Times New Roman"/>
                <w:color w:val="000000"/>
                <w:kern w:val="2"/>
                <w:sz w:val="24"/>
                <w:szCs w:val="24"/>
                <w:lang w:eastAsia="zh-CN" w:bidi="ar-SA"/>
                <w14:ligatures w14:val="none"/>
              </w:rPr>
              <w:t>注：“是”打√</w:t>
            </w:r>
          </w:p>
        </w:tc>
      </w:tr>
    </w:tbl>
    <w:p w14:paraId="2CCF9C46">
      <w:pPr>
        <w:spacing w:after="0" w:line="360" w:lineRule="auto"/>
        <w:jc w:val="right"/>
        <w:rPr>
          <w:rFonts w:ascii="仿宋_GB2312" w:hAnsi="仿宋_GB2312" w:eastAsia="仿宋_GB2312" w:cs="Times New Roman"/>
          <w:b/>
          <w:color w:val="000000"/>
          <w:kern w:val="2"/>
          <w:sz w:val="24"/>
          <w:szCs w:val="24"/>
          <w:lang w:eastAsia="zh-CN" w:bidi="ar-SA"/>
          <w14:ligatures w14:val="none"/>
        </w:rPr>
      </w:pPr>
    </w:p>
    <w:p w14:paraId="6EEF6E57">
      <w:pPr>
        <w:spacing w:after="0" w:line="360" w:lineRule="auto"/>
        <w:jc w:val="right"/>
        <w:rPr>
          <w:rFonts w:ascii="仿宋_GB2312" w:hAnsi="仿宋_GB2312" w:eastAsia="仿宋_GB2312" w:cs="Times New Roman"/>
          <w:b/>
          <w:color w:val="000000"/>
          <w:kern w:val="2"/>
          <w:sz w:val="24"/>
          <w:szCs w:val="24"/>
          <w:lang w:eastAsia="zh-CN" w:bidi="ar-SA"/>
          <w14:ligatures w14:val="none"/>
        </w:rPr>
      </w:pPr>
      <w:r>
        <w:rPr>
          <w:rFonts w:hint="eastAsia" w:ascii="仿宋_GB2312" w:hAnsi="仿宋_GB2312" w:eastAsia="仿宋_GB2312" w:cs="Times New Roman"/>
          <w:b/>
          <w:color w:val="000000"/>
          <w:kern w:val="2"/>
          <w:sz w:val="24"/>
          <w:szCs w:val="24"/>
          <w:lang w:eastAsia="zh-CN" w:bidi="ar-SA"/>
          <w14:ligatures w14:val="none"/>
        </w:rPr>
        <w:t>厂家（商）：盖公章</w:t>
      </w:r>
    </w:p>
    <w:p w14:paraId="77F3E136">
      <w:pPr>
        <w:spacing w:after="156" w:afterLines="50" w:line="240" w:lineRule="auto"/>
        <w:jc w:val="right"/>
        <w:rPr>
          <w:rFonts w:ascii="Calibri" w:hAnsi="Calibri" w:eastAsia="宋体" w:cs="Times New Roman"/>
          <w:color w:val="000000"/>
          <w:kern w:val="2"/>
          <w:sz w:val="24"/>
          <w:szCs w:val="24"/>
          <w:lang w:eastAsia="zh-CN" w:bidi="ar-SA"/>
          <w14:ligatures w14:val="none"/>
        </w:rPr>
      </w:pPr>
      <w:r>
        <w:rPr>
          <w:rFonts w:hint="eastAsia" w:ascii="仿宋_GB2312" w:hAnsi="仿宋_GB2312" w:eastAsia="仿宋_GB2312" w:cs="Times New Roman"/>
          <w:b/>
          <w:color w:val="000000"/>
          <w:kern w:val="2"/>
          <w:sz w:val="28"/>
          <w:szCs w:val="24"/>
          <w:lang w:eastAsia="zh-CN" w:bidi="ar-SA"/>
          <w14:ligatures w14:val="none"/>
        </w:rPr>
        <w:t>日期：   年   月   日</w:t>
      </w:r>
    </w:p>
    <w:p w14:paraId="13B89851">
      <w:pPr>
        <w:spacing w:after="0" w:line="240" w:lineRule="auto"/>
        <w:jc w:val="both"/>
        <w:rPr>
          <w:rFonts w:ascii="Calibri" w:hAnsi="Calibri" w:eastAsia="宋体" w:cs="Times New Roman"/>
          <w:color w:val="000000"/>
          <w:kern w:val="2"/>
          <w:sz w:val="24"/>
          <w:szCs w:val="24"/>
          <w:lang w:eastAsia="zh-CN" w:bidi="ar-SA"/>
          <w14:ligatures w14:val="none"/>
        </w:rPr>
      </w:pPr>
    </w:p>
    <w:p w14:paraId="26FBB448">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ascii="Calibri" w:hAnsi="Calibri" w:eastAsia="宋体" w:cs="Times New Roman"/>
          <w:color w:val="000000"/>
          <w:kern w:val="2"/>
          <w:sz w:val="24"/>
          <w:szCs w:val="24"/>
          <w:lang w:eastAsia="zh-CN" w:bidi="ar-SA"/>
          <w14:ligatures w14:val="none"/>
        </w:rPr>
        <w:br w:type="page"/>
      </w:r>
    </w:p>
    <w:p w14:paraId="6C984884">
      <w:pPr>
        <w:spacing w:after="0" w:line="240" w:lineRule="auto"/>
        <w:jc w:val="center"/>
        <w:rPr>
          <w:rFonts w:hint="eastAsia" w:ascii="方正小标宋_GBK" w:hAnsi="方正小标宋_GBK" w:eastAsia="方正小标宋_GBK" w:cs="方正小标宋_GBK"/>
          <w:color w:val="000000"/>
          <w:kern w:val="2"/>
          <w:sz w:val="36"/>
          <w:szCs w:val="36"/>
          <w:lang w:val="en-US" w:eastAsia="zh-CN" w:bidi="ar-SA"/>
          <w14:ligatures w14:val="none"/>
        </w:rPr>
      </w:pPr>
      <w:r>
        <w:rPr>
          <w:rFonts w:hint="eastAsia" w:ascii="方正小标宋_GBK" w:hAnsi="方正小标宋_GBK" w:eastAsia="方正小标宋_GBK" w:cs="方正小标宋_GBK"/>
          <w:color w:val="000000"/>
          <w:kern w:val="2"/>
          <w:sz w:val="36"/>
          <w:szCs w:val="36"/>
          <w:lang w:eastAsia="zh-CN" w:bidi="ar-SA"/>
          <w14:ligatures w14:val="none"/>
        </w:rPr>
        <w:t>成都市第二人民医院</w:t>
      </w:r>
      <w:r>
        <w:rPr>
          <w:rFonts w:hint="eastAsia" w:ascii="方正小标宋_GBK" w:hAnsi="方正小标宋_GBK" w:eastAsia="方正小标宋_GBK" w:cs="方正小标宋_GBK"/>
          <w:color w:val="000000"/>
          <w:kern w:val="2"/>
          <w:sz w:val="36"/>
          <w:szCs w:val="36"/>
          <w:lang w:val="en-US" w:eastAsia="zh-CN" w:bidi="ar-SA"/>
          <w14:ligatures w14:val="none"/>
        </w:rPr>
        <w:t>医保移动支付改造服务</w:t>
      </w:r>
    </w:p>
    <w:p w14:paraId="6FFECC53">
      <w:pPr>
        <w:spacing w:after="0" w:line="240" w:lineRule="auto"/>
        <w:jc w:val="center"/>
        <w:rPr>
          <w:rFonts w:ascii="方正小标宋简体" w:hAnsi="方正小标宋简体" w:eastAsia="方正小标宋_GBK" w:cs="Times New Roman"/>
          <w:color w:val="000000"/>
          <w:kern w:val="2"/>
          <w:sz w:val="36"/>
          <w:szCs w:val="36"/>
          <w:lang w:eastAsia="zh-CN" w:bidi="ar-SA"/>
          <w14:ligatures w14:val="none"/>
        </w:rPr>
      </w:pPr>
      <w:r>
        <w:rPr>
          <w:rFonts w:hint="eastAsia" w:ascii="方正小标宋_GBK" w:hAnsi="方正小标宋_GBK" w:eastAsia="方正小标宋_GBK" w:cs="方正小标宋_GBK"/>
          <w:color w:val="000000"/>
          <w:kern w:val="2"/>
          <w:sz w:val="36"/>
          <w:szCs w:val="36"/>
          <w:lang w:val="en-US" w:eastAsia="zh-CN" w:bidi="ar-SA"/>
          <w14:ligatures w14:val="none"/>
        </w:rPr>
        <w:t>采购</w:t>
      </w:r>
      <w:r>
        <w:rPr>
          <w:rFonts w:hint="eastAsia" w:ascii="方正小标宋_GBK" w:hAnsi="方正小标宋_GBK" w:eastAsia="方正小标宋_GBK" w:cs="方正小标宋_GBK"/>
          <w:color w:val="000000"/>
          <w:kern w:val="2"/>
          <w:sz w:val="36"/>
          <w:szCs w:val="36"/>
          <w:lang w:eastAsia="zh-CN" w:bidi="ar-SA"/>
          <w14:ligatures w14:val="none"/>
        </w:rPr>
        <w:t>项目报价表</w:t>
      </w:r>
    </w:p>
    <w:p w14:paraId="3FA85BAF">
      <w:pPr>
        <w:spacing w:after="0" w:line="240" w:lineRule="auto"/>
        <w:jc w:val="both"/>
        <w:rPr>
          <w:rFonts w:ascii="Calibri" w:hAnsi="Calibri" w:eastAsia="宋体" w:cs="Times New Roman"/>
          <w:color w:val="000000"/>
          <w:kern w:val="2"/>
          <w:sz w:val="24"/>
          <w:szCs w:val="24"/>
          <w:lang w:eastAsia="zh-CN" w:bidi="ar-SA"/>
          <w14:ligatures w14:val="none"/>
        </w:rPr>
      </w:pPr>
    </w:p>
    <w:tbl>
      <w:tblPr>
        <w:tblStyle w:val="13"/>
        <w:tblW w:w="9155" w:type="dxa"/>
        <w:jc w:val="center"/>
        <w:tblLayout w:type="fixed"/>
        <w:tblCellMar>
          <w:top w:w="0" w:type="dxa"/>
          <w:left w:w="0" w:type="dxa"/>
          <w:bottom w:w="0" w:type="dxa"/>
          <w:right w:w="0" w:type="dxa"/>
        </w:tblCellMar>
      </w:tblPr>
      <w:tblGrid>
        <w:gridCol w:w="1413"/>
        <w:gridCol w:w="1569"/>
        <w:gridCol w:w="3752"/>
        <w:gridCol w:w="1230"/>
        <w:gridCol w:w="1191"/>
      </w:tblGrid>
      <w:tr w14:paraId="2188CD6B">
        <w:tblPrEx>
          <w:tblCellMar>
            <w:top w:w="0" w:type="dxa"/>
            <w:left w:w="0" w:type="dxa"/>
            <w:bottom w:w="0" w:type="dxa"/>
            <w:right w:w="0" w:type="dxa"/>
          </w:tblCellMar>
        </w:tblPrEx>
        <w:trPr>
          <w:trHeight w:val="710" w:hRule="atLeast"/>
          <w:jc w:val="center"/>
        </w:trPr>
        <w:tc>
          <w:tcPr>
            <w:tcW w:w="141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2BFB88E">
            <w:pPr>
              <w:spacing w:after="0" w:line="240" w:lineRule="auto"/>
              <w:jc w:val="center"/>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项目</w:t>
            </w:r>
          </w:p>
        </w:tc>
        <w:tc>
          <w:tcPr>
            <w:tcW w:w="1569"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C725F99">
            <w:pPr>
              <w:spacing w:after="0" w:line="240" w:lineRule="auto"/>
              <w:jc w:val="center"/>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内容</w:t>
            </w:r>
          </w:p>
        </w:tc>
        <w:tc>
          <w:tcPr>
            <w:tcW w:w="3752"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7978456C">
            <w:pPr>
              <w:spacing w:after="0" w:line="240" w:lineRule="auto"/>
              <w:jc w:val="center"/>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用途</w:t>
            </w:r>
          </w:p>
        </w:tc>
        <w:tc>
          <w:tcPr>
            <w:tcW w:w="1230"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747EA53">
            <w:pPr>
              <w:spacing w:after="0" w:line="240" w:lineRule="auto"/>
              <w:jc w:val="center"/>
              <w:rPr>
                <w:rFonts w:ascii="Calibri" w:hAnsi="Calibri" w:eastAsia="宋体" w:cs="Times New Roman"/>
                <w:color w:val="000000"/>
                <w:kern w:val="2"/>
                <w:sz w:val="24"/>
                <w:szCs w:val="24"/>
                <w:lang w:val="en-US" w:eastAsia="zh-CN" w:bidi="ar-SA"/>
                <w14:ligatures w14:val="none"/>
              </w:rPr>
            </w:pPr>
            <w:r>
              <w:rPr>
                <w:rFonts w:hint="eastAsia" w:ascii="Calibri" w:hAnsi="Calibri" w:eastAsia="宋体" w:cs="Times New Roman"/>
                <w:color w:val="000000"/>
                <w:kern w:val="2"/>
                <w:sz w:val="24"/>
                <w:szCs w:val="24"/>
                <w:lang w:eastAsia="zh-CN" w:bidi="ar-SA"/>
                <w14:ligatures w14:val="none"/>
              </w:rPr>
              <w:t>报价</w:t>
            </w:r>
          </w:p>
        </w:tc>
        <w:tc>
          <w:tcPr>
            <w:tcW w:w="1191"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69352BF">
            <w:pPr>
              <w:spacing w:after="0" w:line="240" w:lineRule="auto"/>
              <w:jc w:val="center"/>
              <w:rPr>
                <w:rFonts w:hint="eastAsia" w:ascii="Calibri" w:hAnsi="Calibri" w:eastAsia="宋体" w:cs="Times New Roman"/>
                <w:color w:val="000000"/>
                <w:kern w:val="2"/>
                <w:sz w:val="24"/>
                <w:szCs w:val="24"/>
                <w:lang w:val="en-US" w:eastAsia="zh-CN" w:bidi="ar-SA"/>
                <w14:ligatures w14:val="none"/>
              </w:rPr>
            </w:pPr>
            <w:r>
              <w:rPr>
                <w:rFonts w:hint="eastAsia" w:ascii="Calibri" w:hAnsi="Calibri" w:eastAsia="宋体" w:cs="Times New Roman"/>
                <w:color w:val="000000"/>
                <w:kern w:val="2"/>
                <w:sz w:val="24"/>
                <w:szCs w:val="24"/>
                <w:lang w:eastAsia="zh-CN" w:bidi="ar-SA"/>
                <w14:ligatures w14:val="none"/>
              </w:rPr>
              <w:t>备注</w:t>
            </w:r>
          </w:p>
        </w:tc>
      </w:tr>
      <w:tr w14:paraId="6BB5DF07">
        <w:tblPrEx>
          <w:tblCellMar>
            <w:top w:w="0" w:type="dxa"/>
            <w:left w:w="0" w:type="dxa"/>
            <w:bottom w:w="0" w:type="dxa"/>
            <w:right w:w="0" w:type="dxa"/>
          </w:tblCellMar>
        </w:tblPrEx>
        <w:trPr>
          <w:trHeight w:val="2110" w:hRule="atLeast"/>
          <w:jc w:val="center"/>
        </w:trPr>
        <w:tc>
          <w:tcPr>
            <w:tcW w:w="141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67F12542">
            <w:pPr>
              <w:spacing w:after="0" w:line="240" w:lineRule="auto"/>
              <w:jc w:val="both"/>
              <w:rPr>
                <w:rFonts w:hint="default" w:ascii="Calibri" w:hAnsi="Calibri" w:eastAsia="宋体" w:cs="Times New Roman"/>
                <w:color w:val="000000"/>
                <w:kern w:val="2"/>
                <w:sz w:val="24"/>
                <w:szCs w:val="24"/>
                <w:lang w:val="en-US" w:eastAsia="zh-CN" w:bidi="ar-SA"/>
                <w14:ligatures w14:val="none"/>
              </w:rPr>
            </w:pPr>
            <w:r>
              <w:rPr>
                <w:rFonts w:hint="eastAsia" w:ascii="Calibri" w:hAnsi="Calibri" w:eastAsia="宋体" w:cs="Times New Roman"/>
                <w:color w:val="000000"/>
                <w:kern w:val="2"/>
                <w:sz w:val="24"/>
                <w:szCs w:val="24"/>
                <w:lang w:val="en-US" w:eastAsia="zh-CN" w:bidi="ar-SA"/>
                <w14:ligatures w14:val="none"/>
              </w:rPr>
              <w:t>医保移动支付改造服务</w:t>
            </w:r>
          </w:p>
        </w:tc>
        <w:tc>
          <w:tcPr>
            <w:tcW w:w="156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7A8B3E6">
            <w:pPr>
              <w:spacing w:after="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详见</w:t>
            </w:r>
            <w:r>
              <w:rPr>
                <w:rFonts w:hint="eastAsia" w:ascii="Calibri" w:hAnsi="Calibri" w:eastAsia="宋体" w:cs="Times New Roman"/>
                <w:color w:val="000000"/>
                <w:kern w:val="2"/>
                <w:sz w:val="24"/>
                <w:szCs w:val="24"/>
                <w:lang w:val="en-US" w:eastAsia="zh-CN" w:bidi="ar-SA"/>
                <w14:ligatures w14:val="none"/>
              </w:rPr>
              <w:t>服务</w:t>
            </w:r>
            <w:r>
              <w:rPr>
                <w:rFonts w:hint="eastAsia" w:ascii="Calibri" w:hAnsi="Calibri" w:eastAsia="宋体" w:cs="Times New Roman"/>
                <w:color w:val="000000"/>
                <w:kern w:val="2"/>
                <w:sz w:val="24"/>
                <w:szCs w:val="24"/>
                <w:lang w:eastAsia="zh-CN" w:bidi="ar-SA"/>
                <w14:ligatures w14:val="none"/>
              </w:rPr>
              <w:t>要求。</w:t>
            </w:r>
          </w:p>
        </w:tc>
        <w:tc>
          <w:tcPr>
            <w:tcW w:w="375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44F8A93">
            <w:pPr>
              <w:spacing w:after="0" w:line="240" w:lineRule="auto"/>
              <w:jc w:val="both"/>
              <w:rPr>
                <w:rFonts w:hint="default" w:ascii="Calibri" w:hAnsi="Calibri" w:eastAsia="宋体" w:cs="Times New Roman"/>
                <w:color w:val="000000"/>
                <w:kern w:val="2"/>
                <w:sz w:val="24"/>
                <w:szCs w:val="24"/>
                <w:lang w:val="en-US" w:eastAsia="zh-CN" w:bidi="ar-SA"/>
                <w14:ligatures w14:val="none"/>
              </w:rPr>
            </w:pPr>
            <w:r>
              <w:rPr>
                <w:rFonts w:hint="eastAsia" w:ascii="Calibri" w:hAnsi="Calibri" w:eastAsia="宋体" w:cs="Times New Roman"/>
                <w:color w:val="000000"/>
                <w:kern w:val="2"/>
                <w:sz w:val="24"/>
                <w:szCs w:val="24"/>
                <w:lang w:val="en-US" w:eastAsia="zh-CN" w:bidi="ar-SA"/>
                <w14:ligatures w14:val="none"/>
              </w:rPr>
              <w:t>对</w:t>
            </w:r>
            <w:r>
              <w:rPr>
                <w:rFonts w:hint="default" w:ascii="Calibri" w:hAnsi="Calibri" w:eastAsia="宋体" w:cs="Times New Roman"/>
                <w:color w:val="000000"/>
                <w:kern w:val="2"/>
                <w:sz w:val="24"/>
                <w:szCs w:val="24"/>
                <w:lang w:val="en-US" w:eastAsia="zh-CN" w:bidi="ar-SA"/>
                <w14:ligatures w14:val="none"/>
              </w:rPr>
              <w:t>医院门诊、住院全场景医保移动支付系统改造，实现医保电子凭证授权核验、多渠道混合支付、线上结算、订单管理、资金对账清分、异常处理等全流程能力；对接微信公众号、微信小程序、支付宝、四川医保APP四大渠道，同步完成院内HIS系统接口适配改造，配套提供平台管理、技术对接、落地指引及运维保障服务。</w:t>
            </w:r>
          </w:p>
        </w:tc>
        <w:tc>
          <w:tcPr>
            <w:tcW w:w="123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C0109FE">
            <w:pPr>
              <w:spacing w:after="0" w:line="240" w:lineRule="auto"/>
              <w:jc w:val="both"/>
              <w:rPr>
                <w:rFonts w:ascii="Calibri" w:hAnsi="Calibri" w:eastAsia="宋体" w:cs="Times New Roman"/>
                <w:color w:val="000000"/>
                <w:kern w:val="2"/>
                <w:sz w:val="24"/>
                <w:szCs w:val="24"/>
                <w:lang w:eastAsia="zh-CN" w:bidi="ar-SA"/>
                <w14:ligatures w14:val="none"/>
              </w:rPr>
            </w:pPr>
            <w:bookmarkStart w:id="0" w:name="_GoBack"/>
            <w:bookmarkEnd w:id="0"/>
          </w:p>
        </w:tc>
        <w:tc>
          <w:tcPr>
            <w:tcW w:w="119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86A3D72">
            <w:pPr>
              <w:spacing w:after="0" w:line="240" w:lineRule="auto"/>
              <w:jc w:val="both"/>
              <w:rPr>
                <w:rFonts w:hint="default" w:ascii="Calibri" w:hAnsi="Calibri" w:eastAsia="宋体" w:cs="Times New Roman"/>
                <w:color w:val="000000"/>
                <w:kern w:val="2"/>
                <w:sz w:val="24"/>
                <w:szCs w:val="24"/>
                <w:lang w:val="en-US" w:eastAsia="zh-CN" w:bidi="ar-SA"/>
                <w14:ligatures w14:val="none"/>
              </w:rPr>
            </w:pPr>
            <w:r>
              <w:rPr>
                <w:rFonts w:hint="eastAsia" w:ascii="Calibri" w:hAnsi="Calibri" w:eastAsia="宋体" w:cs="Times New Roman"/>
                <w:color w:val="000000"/>
                <w:kern w:val="2"/>
                <w:sz w:val="24"/>
                <w:szCs w:val="24"/>
                <w:lang w:val="en-US" w:eastAsia="zh-CN" w:bidi="ar-SA"/>
                <w14:ligatures w14:val="none"/>
              </w:rPr>
              <w:t>按照分项报价（服务模块、安全、运维等）</w:t>
            </w:r>
          </w:p>
        </w:tc>
      </w:tr>
    </w:tbl>
    <w:p w14:paraId="0D08346B">
      <w:pPr>
        <w:spacing w:after="0" w:line="240" w:lineRule="auto"/>
        <w:ind w:left="708" w:leftChars="295"/>
        <w:jc w:val="both"/>
        <w:rPr>
          <w:rFonts w:ascii="Calibri" w:hAnsi="Calibri" w:eastAsia="宋体" w:cs="Times New Roman"/>
          <w:color w:val="000000"/>
          <w:kern w:val="2"/>
          <w:sz w:val="24"/>
          <w:szCs w:val="24"/>
          <w:lang w:eastAsia="zh-CN" w:bidi="ar-SA"/>
          <w14:ligatures w14:val="none"/>
        </w:rPr>
      </w:pPr>
    </w:p>
    <w:p w14:paraId="71326472">
      <w:pPr>
        <w:widowControl/>
        <w:spacing w:after="120" w:line="360" w:lineRule="auto"/>
        <w:ind w:firstLine="720" w:firstLineChars="300"/>
        <w:jc w:val="left"/>
        <w:rPr>
          <w:rFonts w:ascii="Calibri" w:hAnsi="Calibri" w:eastAsia="宋体" w:cs="Times New Roman"/>
          <w:smallCaps/>
          <w:color w:val="000000"/>
          <w:kern w:val="2"/>
          <w:sz w:val="24"/>
          <w:szCs w:val="24"/>
          <w:lang w:eastAsia="zh-CN" w:bidi="ar-SA"/>
          <w14:ligatures w14:val="none"/>
        </w:rPr>
      </w:pPr>
      <w:r>
        <w:rPr>
          <w:rFonts w:hint="eastAsia" w:ascii="Calibri" w:hAnsi="Calibri" w:eastAsia="宋体" w:cs="Times New Roman"/>
          <w:smallCaps/>
          <w:color w:val="000000"/>
          <w:kern w:val="2"/>
          <w:sz w:val="24"/>
          <w:szCs w:val="24"/>
          <w:lang w:eastAsia="zh-CN" w:bidi="ar-SA"/>
          <w14:ligatures w14:val="none"/>
        </w:rPr>
        <w:t>报价公司：</w:t>
      </w:r>
    </w:p>
    <w:p w14:paraId="0CA487C8">
      <w:pPr>
        <w:widowControl/>
        <w:spacing w:after="120" w:line="360" w:lineRule="auto"/>
        <w:ind w:firstLine="720" w:firstLineChars="300"/>
        <w:jc w:val="left"/>
        <w:rPr>
          <w:rFonts w:ascii="Calibri" w:hAnsi="Calibri" w:eastAsia="宋体" w:cs="Times New Roman"/>
          <w:smallCaps/>
          <w:color w:val="000000"/>
          <w:kern w:val="2"/>
          <w:sz w:val="24"/>
          <w:szCs w:val="24"/>
          <w:lang w:eastAsia="zh-CN" w:bidi="ar-SA"/>
          <w14:ligatures w14:val="none"/>
        </w:rPr>
      </w:pPr>
      <w:r>
        <w:rPr>
          <w:rFonts w:hint="eastAsia" w:ascii="Calibri" w:hAnsi="Calibri" w:eastAsia="宋体" w:cs="Times New Roman"/>
          <w:smallCaps/>
          <w:color w:val="000000"/>
          <w:kern w:val="2"/>
          <w:sz w:val="24"/>
          <w:szCs w:val="24"/>
          <w:lang w:eastAsia="zh-CN" w:bidi="ar-SA"/>
          <w14:ligatures w14:val="none"/>
        </w:rPr>
        <w:t>联系方式：</w:t>
      </w:r>
    </w:p>
    <w:p w14:paraId="341E4819">
      <w:pPr>
        <w:widowControl/>
        <w:spacing w:after="120" w:line="360" w:lineRule="auto"/>
        <w:ind w:firstLine="720" w:firstLineChars="300"/>
        <w:jc w:val="left"/>
        <w:rPr>
          <w:rFonts w:ascii="Calibri" w:hAnsi="Calibri" w:eastAsia="宋体" w:cs="Times New Roman"/>
          <w:smallCaps/>
          <w:color w:val="000000"/>
          <w:kern w:val="2"/>
          <w:sz w:val="24"/>
          <w:szCs w:val="24"/>
          <w:lang w:eastAsia="zh-CN" w:bidi="ar-SA"/>
          <w14:ligatures w14:val="none"/>
        </w:rPr>
      </w:pPr>
      <w:r>
        <w:rPr>
          <w:rFonts w:hint="eastAsia" w:ascii="Calibri" w:hAnsi="Calibri" w:eastAsia="宋体" w:cs="Times New Roman"/>
          <w:smallCaps/>
          <w:color w:val="000000"/>
          <w:kern w:val="2"/>
          <w:sz w:val="24"/>
          <w:szCs w:val="24"/>
          <w:lang w:eastAsia="zh-CN" w:bidi="ar-SA"/>
          <w14:ligatures w14:val="none"/>
        </w:rPr>
        <w:t>是否对需求内容完全响应：</w:t>
      </w:r>
    </w:p>
    <w:p w14:paraId="0F0425F0">
      <w:pPr>
        <w:widowControl/>
        <w:spacing w:after="120" w:line="360" w:lineRule="auto"/>
        <w:ind w:firstLine="720" w:firstLineChars="300"/>
        <w:jc w:val="left"/>
        <w:rPr>
          <w:rFonts w:ascii="Calibri" w:hAnsi="Calibri" w:eastAsia="宋体" w:cs="Times New Roman"/>
          <w:smallCaps/>
          <w:color w:val="000000"/>
          <w:kern w:val="2"/>
          <w:sz w:val="24"/>
          <w:szCs w:val="24"/>
          <w:lang w:eastAsia="zh-CN" w:bidi="ar-SA"/>
          <w14:ligatures w14:val="none"/>
        </w:rPr>
      </w:pPr>
      <w:r>
        <w:rPr>
          <w:rFonts w:hint="eastAsia" w:ascii="Calibri" w:hAnsi="Calibri" w:eastAsia="宋体" w:cs="Times New Roman"/>
          <w:smallCaps/>
          <w:color w:val="000000"/>
          <w:kern w:val="2"/>
          <w:sz w:val="24"/>
          <w:szCs w:val="24"/>
          <w:lang w:eastAsia="zh-CN" w:bidi="ar-SA"/>
          <w14:ligatures w14:val="none"/>
        </w:rPr>
        <w:t>日期：</w:t>
      </w:r>
    </w:p>
    <w:p w14:paraId="253E5E1C">
      <w:pPr>
        <w:widowControl/>
        <w:spacing w:after="120" w:line="360" w:lineRule="auto"/>
        <w:ind w:firstLine="720" w:firstLineChars="300"/>
        <w:jc w:val="left"/>
        <w:rPr>
          <w:rFonts w:ascii="Calibri" w:hAnsi="Calibri" w:eastAsia="宋体" w:cs="Times New Roman"/>
          <w:smallCaps/>
          <w:color w:val="000000"/>
          <w:kern w:val="2"/>
          <w:sz w:val="24"/>
          <w:szCs w:val="24"/>
          <w:lang w:eastAsia="zh-CN" w:bidi="ar-SA"/>
          <w14:ligatures w14:val="none"/>
        </w:rPr>
      </w:pPr>
    </w:p>
    <w:p w14:paraId="3C21C92E">
      <w:pPr>
        <w:widowControl/>
        <w:spacing w:after="120" w:line="360" w:lineRule="auto"/>
        <w:ind w:firstLine="720" w:firstLineChars="300"/>
        <w:jc w:val="left"/>
        <w:rPr>
          <w:rFonts w:ascii="Calibri" w:hAnsi="Calibri" w:eastAsia="宋体" w:cs="Times New Roman"/>
          <w:smallCaps/>
          <w:color w:val="000000"/>
          <w:kern w:val="2"/>
          <w:sz w:val="24"/>
          <w:szCs w:val="24"/>
          <w:lang w:eastAsia="zh-CN" w:bidi="ar-SA"/>
          <w14:ligatures w14:val="none"/>
        </w:rPr>
      </w:pPr>
    </w:p>
    <w:p w14:paraId="3C0A244E">
      <w:pPr>
        <w:spacing w:after="0" w:line="240" w:lineRule="auto"/>
        <w:jc w:val="both"/>
        <w:rPr>
          <w:rFonts w:ascii="Calibri" w:hAnsi="Calibri" w:eastAsia="宋体" w:cs="Times New Roman"/>
          <w:color w:val="000000"/>
          <w:kern w:val="2"/>
          <w:sz w:val="24"/>
          <w:szCs w:val="24"/>
          <w:lang w:eastAsia="zh-CN" w:bidi="ar-SA"/>
          <w14:ligatures w14:val="none"/>
        </w:rPr>
      </w:pPr>
    </w:p>
    <w:p w14:paraId="14FD3F1C">
      <w:pPr>
        <w:spacing w:after="0" w:line="240" w:lineRule="auto"/>
        <w:jc w:val="both"/>
        <w:rPr>
          <w:rFonts w:ascii="Calibri" w:hAnsi="Calibri" w:eastAsia="宋体" w:cs="Times New Roman"/>
          <w:color w:val="000000"/>
          <w:kern w:val="2"/>
          <w:sz w:val="24"/>
          <w:szCs w:val="24"/>
          <w:lang w:eastAsia="zh-CN" w:bidi="ar-SA"/>
          <w14:ligatures w14:val="none"/>
        </w:rPr>
      </w:pPr>
      <w:r>
        <w:rPr>
          <w:rFonts w:ascii="Calibri" w:hAnsi="Calibri" w:eastAsia="宋体" w:cs="Times New Roman"/>
          <w:color w:val="000000"/>
          <w:kern w:val="2"/>
          <w:sz w:val="24"/>
          <w:szCs w:val="24"/>
          <w:lang w:eastAsia="zh-CN" w:bidi="ar-SA"/>
          <w14:ligatures w14:val="none"/>
        </w:rPr>
        <w:br w:type="page"/>
      </w:r>
    </w:p>
    <w:p w14:paraId="212B92B2">
      <w:pPr>
        <w:spacing w:after="0" w:line="240" w:lineRule="auto"/>
        <w:jc w:val="center"/>
        <w:rPr>
          <w:rFonts w:hint="eastAsia" w:ascii="方正小标宋_GBK" w:hAnsi="方正小标宋_GBK" w:eastAsia="方正小标宋_GBK" w:cs="方正小标宋_GBK"/>
          <w:color w:val="000000"/>
          <w:kern w:val="2"/>
          <w:sz w:val="36"/>
          <w:szCs w:val="36"/>
          <w:lang w:val="en-US" w:eastAsia="zh-CN" w:bidi="ar-SA"/>
          <w14:ligatures w14:val="none"/>
        </w:rPr>
      </w:pPr>
      <w:r>
        <w:rPr>
          <w:rFonts w:hint="eastAsia" w:ascii="方正小标宋_GBK" w:hAnsi="方正小标宋_GBK" w:eastAsia="方正小标宋_GBK" w:cs="方正小标宋_GBK"/>
          <w:color w:val="000000"/>
          <w:kern w:val="2"/>
          <w:sz w:val="36"/>
          <w:szCs w:val="36"/>
          <w:lang w:eastAsia="zh-CN" w:bidi="ar-SA"/>
          <w14:ligatures w14:val="none"/>
        </w:rPr>
        <w:t>成都市第二人民医院</w:t>
      </w:r>
      <w:r>
        <w:rPr>
          <w:rFonts w:hint="eastAsia" w:ascii="方正小标宋_GBK" w:hAnsi="方正小标宋_GBK" w:eastAsia="方正小标宋_GBK" w:cs="方正小标宋_GBK"/>
          <w:color w:val="000000"/>
          <w:kern w:val="2"/>
          <w:sz w:val="36"/>
          <w:szCs w:val="36"/>
          <w:lang w:val="en-US" w:eastAsia="zh-CN" w:bidi="ar-SA"/>
          <w14:ligatures w14:val="none"/>
        </w:rPr>
        <w:t>医保移动支付改造服务</w:t>
      </w:r>
    </w:p>
    <w:p w14:paraId="2FEE42EC">
      <w:pPr>
        <w:spacing w:after="0" w:line="240" w:lineRule="auto"/>
        <w:jc w:val="center"/>
        <w:rPr>
          <w:rFonts w:ascii="方正小标宋简体" w:hAnsi="方正小标宋简体" w:eastAsia="方正小标宋_GBK" w:cs="Times New Roman"/>
          <w:color w:val="000000"/>
          <w:kern w:val="2"/>
          <w:sz w:val="36"/>
          <w:szCs w:val="36"/>
          <w:lang w:eastAsia="zh-CN" w:bidi="ar-SA"/>
          <w14:ligatures w14:val="none"/>
        </w:rPr>
      </w:pPr>
      <w:r>
        <w:rPr>
          <w:rFonts w:hint="eastAsia" w:ascii="方正小标宋_GBK" w:hAnsi="方正小标宋_GBK" w:eastAsia="方正小标宋_GBK" w:cs="方正小标宋_GBK"/>
          <w:color w:val="000000"/>
          <w:kern w:val="2"/>
          <w:sz w:val="36"/>
          <w:szCs w:val="36"/>
          <w:lang w:val="en-US" w:eastAsia="zh-CN" w:bidi="ar-SA"/>
          <w14:ligatures w14:val="none"/>
        </w:rPr>
        <w:t>采购项目</w:t>
      </w:r>
      <w:r>
        <w:rPr>
          <w:rFonts w:hint="eastAsia" w:ascii="方正小标宋_GBK" w:hAnsi="方正小标宋_GBK" w:eastAsia="方正小标宋_GBK" w:cs="方正小标宋_GBK"/>
          <w:color w:val="000000"/>
          <w:kern w:val="2"/>
          <w:sz w:val="36"/>
          <w:szCs w:val="36"/>
          <w:lang w:eastAsia="zh-CN" w:bidi="ar-SA"/>
          <w14:ligatures w14:val="none"/>
        </w:rPr>
        <w:t>建设方案</w:t>
      </w:r>
    </w:p>
    <w:p w14:paraId="73D22ECB">
      <w:pPr>
        <w:spacing w:after="0" w:line="240" w:lineRule="auto"/>
        <w:jc w:val="center"/>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（模板）</w:t>
      </w:r>
    </w:p>
    <w:p w14:paraId="351A6CAA">
      <w:pPr>
        <w:spacing w:after="0" w:line="240" w:lineRule="auto"/>
        <w:jc w:val="both"/>
        <w:rPr>
          <w:rFonts w:ascii="Calibri" w:hAnsi="Calibri" w:eastAsia="宋体" w:cs="Times New Roman"/>
          <w:color w:val="000000"/>
          <w:kern w:val="2"/>
          <w:sz w:val="24"/>
          <w:szCs w:val="24"/>
          <w:lang w:eastAsia="zh-CN" w:bidi="ar-SA"/>
          <w14:ligatures w14:val="none"/>
        </w:rPr>
      </w:pPr>
    </w:p>
    <w:p w14:paraId="3379FD43">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val="en-US" w:eastAsia="zh-CN" w:bidi="ar-SA"/>
          <w14:ligatures w14:val="none"/>
        </w:rPr>
        <w:t>一、</w:t>
      </w:r>
      <w:r>
        <w:rPr>
          <w:rFonts w:hint="eastAsia" w:ascii="仿宋" w:hAnsi="仿宋" w:eastAsia="仿宋" w:cs="Times New Roman"/>
          <w:color w:val="000000"/>
          <w:kern w:val="0"/>
          <w:sz w:val="28"/>
          <w:szCs w:val="28"/>
          <w:lang w:eastAsia="zh-CN" w:bidi="ar-SA"/>
          <w14:ligatures w14:val="none"/>
        </w:rPr>
        <w:t>需求xxx</w:t>
      </w:r>
    </w:p>
    <w:p w14:paraId="50F5DDFC">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1．需求xxx</w:t>
      </w:r>
    </w:p>
    <w:p w14:paraId="5E928618">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回复：（是/否完全响应）</w:t>
      </w:r>
    </w:p>
    <w:p w14:paraId="198D9BBC">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具体方案：</w:t>
      </w:r>
    </w:p>
    <w:p w14:paraId="5BF5A3A4">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2.需求xxx</w:t>
      </w:r>
    </w:p>
    <w:p w14:paraId="17EBF1C0">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回复：（是/否完全响应）</w:t>
      </w:r>
    </w:p>
    <w:p w14:paraId="70E6A6C9">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具体方案：</w:t>
      </w:r>
    </w:p>
    <w:p w14:paraId="5E043E57">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3.需求xxx</w:t>
      </w:r>
    </w:p>
    <w:p w14:paraId="63C4A0F3">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回复：（是/否完全响应）</w:t>
      </w:r>
    </w:p>
    <w:p w14:paraId="51B0EC26">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具体方案：</w:t>
      </w:r>
    </w:p>
    <w:p w14:paraId="13C45571">
      <w:pPr>
        <w:widowControl w:val="0"/>
        <w:spacing w:after="0" w:line="240" w:lineRule="auto"/>
        <w:rPr>
          <w:rFonts w:hint="eastAsia" w:ascii="Times New Roman" w:hAnsi="Times New Roman" w:eastAsia="宋体" w:cs="Times New Roman"/>
          <w:kern w:val="2"/>
          <w:sz w:val="24"/>
          <w:szCs w:val="24"/>
          <w:lang w:val="en-US" w:eastAsia="zh-CN" w:bidi="ar-SA"/>
          <w14:ligatures w14:val="none"/>
        </w:rPr>
      </w:pPr>
      <w:r>
        <w:rPr>
          <w:rFonts w:ascii="仿宋" w:hAnsi="仿宋" w:eastAsia="仿宋" w:cs="Times New Roman"/>
          <w:color w:val="000000"/>
          <w:kern w:val="0"/>
          <w:sz w:val="28"/>
          <w:szCs w:val="28"/>
          <w:lang w:val="en-US" w:eastAsia="zh-CN" w:bidi="ar-SA"/>
          <w14:ligatures w14:val="none"/>
        </w:rPr>
        <w:t>二、其它</w:t>
      </w:r>
    </w:p>
    <w:p w14:paraId="2C810CE1">
      <w:pPr>
        <w:tabs>
          <w:tab w:val="left" w:pos="2310"/>
        </w:tabs>
        <w:spacing w:line="360" w:lineRule="auto"/>
        <w:ind w:right="480" w:rightChars="200" w:firstLine="560" w:firstLineChars="200"/>
        <w:jc w:val="left"/>
        <w:rPr>
          <w:rFonts w:hint="eastAsia" w:ascii="方正仿宋_GBK" w:hAnsi="方正仿宋_GBK" w:eastAsia="方正仿宋_GBK" w:cs="方正仿宋_GBK"/>
          <w:color w:val="auto"/>
          <w:kern w:val="0"/>
          <w:sz w:val="28"/>
          <w:szCs w:val="28"/>
          <w:highlight w:val="none"/>
          <w:lang w:val="en-US" w:eastAsia="zh-CN" w:bidi="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4B62867-950D-4DE9-8551-91C75D81AF23}"/>
  </w:font>
  <w:font w:name="仿宋">
    <w:panose1 w:val="02010609060101010101"/>
    <w:charset w:val="86"/>
    <w:family w:val="modern"/>
    <w:pitch w:val="default"/>
    <w:sig w:usb0="800002BF" w:usb1="38CF7CFA" w:usb2="00000016" w:usb3="00000000" w:csb0="00040001" w:csb1="00000000"/>
    <w:embedRegular r:id="rId2" w:fontKey="{4BF35BEC-8765-4851-875C-95EA072D451F}"/>
  </w:font>
  <w:font w:name="方正小标宋_GBK">
    <w:panose1 w:val="03000509000000000000"/>
    <w:charset w:val="86"/>
    <w:family w:val="auto"/>
    <w:pitch w:val="default"/>
    <w:sig w:usb0="00000001" w:usb1="080E0000" w:usb2="00000000" w:usb3="00000000" w:csb0="00040000" w:csb1="00000000"/>
    <w:embedRegular r:id="rId3" w:fontKey="{E4E74371-2E6E-431B-B5C9-B3E3DA230190}"/>
  </w:font>
  <w:font w:name="方正仿宋_GBK">
    <w:panose1 w:val="03000509000000000000"/>
    <w:charset w:val="86"/>
    <w:family w:val="script"/>
    <w:pitch w:val="default"/>
    <w:sig w:usb0="00000001" w:usb1="080E0000" w:usb2="00000000" w:usb3="00000000" w:csb0="00040000" w:csb1="00000000"/>
    <w:embedRegular r:id="rId4" w:fontKey="{4C1ABE36-6EDB-4EBA-8CB0-75BCC0636B92}"/>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embedRegular r:id="rId5" w:fontKey="{DF451FB3-9A3D-4AE0-A210-168EE2D523A9}"/>
  </w:font>
  <w:font w:name="方正小标宋简体">
    <w:panose1 w:val="02000000000000000000"/>
    <w:charset w:val="86"/>
    <w:family w:val="script"/>
    <w:pitch w:val="default"/>
    <w:sig w:usb0="00000001" w:usb1="08000000" w:usb2="00000000" w:usb3="00000000" w:csb0="00040000" w:csb1="00000000"/>
    <w:embedRegular r:id="rId6" w:fontKey="{BDECB904-F765-400C-BF34-5E7BF0A8A3F8}"/>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46E"/>
    <w:rsid w:val="00017FF1"/>
    <w:rsid w:val="00071782"/>
    <w:rsid w:val="000A19E3"/>
    <w:rsid w:val="000C2A2E"/>
    <w:rsid w:val="0017467F"/>
    <w:rsid w:val="001B6770"/>
    <w:rsid w:val="001C54CE"/>
    <w:rsid w:val="001D3AA8"/>
    <w:rsid w:val="001E3720"/>
    <w:rsid w:val="002750C0"/>
    <w:rsid w:val="002F4CA3"/>
    <w:rsid w:val="00320E9F"/>
    <w:rsid w:val="00326A4B"/>
    <w:rsid w:val="003334E1"/>
    <w:rsid w:val="003B6551"/>
    <w:rsid w:val="003C4B27"/>
    <w:rsid w:val="0044558B"/>
    <w:rsid w:val="0044739D"/>
    <w:rsid w:val="00453CF0"/>
    <w:rsid w:val="004F31F4"/>
    <w:rsid w:val="00571B22"/>
    <w:rsid w:val="00591B3D"/>
    <w:rsid w:val="00685E59"/>
    <w:rsid w:val="006A614A"/>
    <w:rsid w:val="006D1550"/>
    <w:rsid w:val="006D5382"/>
    <w:rsid w:val="00714BE3"/>
    <w:rsid w:val="0071764D"/>
    <w:rsid w:val="007F0CA5"/>
    <w:rsid w:val="008153B6"/>
    <w:rsid w:val="008430D3"/>
    <w:rsid w:val="00A42544"/>
    <w:rsid w:val="00A45E4A"/>
    <w:rsid w:val="00AA5BFD"/>
    <w:rsid w:val="00AF3816"/>
    <w:rsid w:val="00B6242B"/>
    <w:rsid w:val="00C40D1A"/>
    <w:rsid w:val="00CA75C1"/>
    <w:rsid w:val="00D20BCB"/>
    <w:rsid w:val="00D42B17"/>
    <w:rsid w:val="00D53686"/>
    <w:rsid w:val="00D8346E"/>
    <w:rsid w:val="00D836D3"/>
    <w:rsid w:val="00DD7F31"/>
    <w:rsid w:val="00E277C4"/>
    <w:rsid w:val="00E6284A"/>
    <w:rsid w:val="00EB1B66"/>
    <w:rsid w:val="00ED36FC"/>
    <w:rsid w:val="00F263F6"/>
    <w:rsid w:val="00F41CA1"/>
    <w:rsid w:val="00F46C2F"/>
    <w:rsid w:val="00FC6A2D"/>
    <w:rsid w:val="01B62F5C"/>
    <w:rsid w:val="027F6AB2"/>
    <w:rsid w:val="053702FC"/>
    <w:rsid w:val="058D14E6"/>
    <w:rsid w:val="05B44CC5"/>
    <w:rsid w:val="05E73990"/>
    <w:rsid w:val="065105F3"/>
    <w:rsid w:val="075229E7"/>
    <w:rsid w:val="0923288D"/>
    <w:rsid w:val="09D80C3B"/>
    <w:rsid w:val="0B260413"/>
    <w:rsid w:val="0D505C1B"/>
    <w:rsid w:val="0DE819AF"/>
    <w:rsid w:val="0E0B1B42"/>
    <w:rsid w:val="0E172295"/>
    <w:rsid w:val="0E6027FA"/>
    <w:rsid w:val="0E8F62CF"/>
    <w:rsid w:val="0ED518B9"/>
    <w:rsid w:val="0F3B6457"/>
    <w:rsid w:val="0F421593"/>
    <w:rsid w:val="0F584C48"/>
    <w:rsid w:val="0F955B67"/>
    <w:rsid w:val="0FA7589A"/>
    <w:rsid w:val="104749CB"/>
    <w:rsid w:val="107870C0"/>
    <w:rsid w:val="116003F7"/>
    <w:rsid w:val="12266F4A"/>
    <w:rsid w:val="13BA199F"/>
    <w:rsid w:val="147C5547"/>
    <w:rsid w:val="16DE6045"/>
    <w:rsid w:val="171C6B53"/>
    <w:rsid w:val="18AD2173"/>
    <w:rsid w:val="1910625E"/>
    <w:rsid w:val="19CD414F"/>
    <w:rsid w:val="19FE255B"/>
    <w:rsid w:val="1A134258"/>
    <w:rsid w:val="1A1E49AB"/>
    <w:rsid w:val="1BD6553D"/>
    <w:rsid w:val="1E0F4D36"/>
    <w:rsid w:val="1E4A561A"/>
    <w:rsid w:val="1EE00D0E"/>
    <w:rsid w:val="1F132604"/>
    <w:rsid w:val="1F417373"/>
    <w:rsid w:val="209634ED"/>
    <w:rsid w:val="20A200E4"/>
    <w:rsid w:val="214F227E"/>
    <w:rsid w:val="216D2AF2"/>
    <w:rsid w:val="223E3E3C"/>
    <w:rsid w:val="22853819"/>
    <w:rsid w:val="22E20C6B"/>
    <w:rsid w:val="22EC1AEA"/>
    <w:rsid w:val="232C0139"/>
    <w:rsid w:val="23931F66"/>
    <w:rsid w:val="23955EBA"/>
    <w:rsid w:val="24D42836"/>
    <w:rsid w:val="258629BE"/>
    <w:rsid w:val="275814FC"/>
    <w:rsid w:val="27871DE1"/>
    <w:rsid w:val="2A693A20"/>
    <w:rsid w:val="2AF754D0"/>
    <w:rsid w:val="2B0A0D5F"/>
    <w:rsid w:val="2C5F332D"/>
    <w:rsid w:val="2CFF2E26"/>
    <w:rsid w:val="2DBB4593"/>
    <w:rsid w:val="2E7C28D5"/>
    <w:rsid w:val="2EDC2A13"/>
    <w:rsid w:val="2F432A92"/>
    <w:rsid w:val="30760C45"/>
    <w:rsid w:val="324E1E79"/>
    <w:rsid w:val="32AD51A6"/>
    <w:rsid w:val="337C76E9"/>
    <w:rsid w:val="338D004A"/>
    <w:rsid w:val="33D91C17"/>
    <w:rsid w:val="345117AD"/>
    <w:rsid w:val="34655258"/>
    <w:rsid w:val="34873421"/>
    <w:rsid w:val="34E02B31"/>
    <w:rsid w:val="34E95E89"/>
    <w:rsid w:val="35D22DC1"/>
    <w:rsid w:val="36BB1AA7"/>
    <w:rsid w:val="37A12A4B"/>
    <w:rsid w:val="38E2156D"/>
    <w:rsid w:val="39533938"/>
    <w:rsid w:val="39667CE8"/>
    <w:rsid w:val="3A2757EF"/>
    <w:rsid w:val="3A66321F"/>
    <w:rsid w:val="3A6B10EF"/>
    <w:rsid w:val="3A7D77A0"/>
    <w:rsid w:val="3AE0388B"/>
    <w:rsid w:val="3B714E2B"/>
    <w:rsid w:val="3D7309E6"/>
    <w:rsid w:val="3E5F0F6A"/>
    <w:rsid w:val="3EC57020"/>
    <w:rsid w:val="409273D5"/>
    <w:rsid w:val="40EB2F89"/>
    <w:rsid w:val="41990C37"/>
    <w:rsid w:val="41A90E7A"/>
    <w:rsid w:val="41B14C07"/>
    <w:rsid w:val="430D7052"/>
    <w:rsid w:val="43B52932"/>
    <w:rsid w:val="443417CC"/>
    <w:rsid w:val="44B5604C"/>
    <w:rsid w:val="44C164DB"/>
    <w:rsid w:val="451505D5"/>
    <w:rsid w:val="45992FB4"/>
    <w:rsid w:val="461B77AA"/>
    <w:rsid w:val="474E6020"/>
    <w:rsid w:val="47C36A0E"/>
    <w:rsid w:val="491F7C74"/>
    <w:rsid w:val="493059DD"/>
    <w:rsid w:val="49AF4BA5"/>
    <w:rsid w:val="4AC80D07"/>
    <w:rsid w:val="4C1C493F"/>
    <w:rsid w:val="4C516396"/>
    <w:rsid w:val="4D221AE1"/>
    <w:rsid w:val="4DB34E2F"/>
    <w:rsid w:val="4DF74D1B"/>
    <w:rsid w:val="4E151645"/>
    <w:rsid w:val="4E1B3100"/>
    <w:rsid w:val="4E3E59EC"/>
    <w:rsid w:val="4F786D37"/>
    <w:rsid w:val="501E0C85"/>
    <w:rsid w:val="50B213CE"/>
    <w:rsid w:val="50C62129"/>
    <w:rsid w:val="5279757B"/>
    <w:rsid w:val="5331489C"/>
    <w:rsid w:val="537C4864"/>
    <w:rsid w:val="5391176E"/>
    <w:rsid w:val="541C54DC"/>
    <w:rsid w:val="544762D1"/>
    <w:rsid w:val="549B4D68"/>
    <w:rsid w:val="56334D5F"/>
    <w:rsid w:val="56BB6ECB"/>
    <w:rsid w:val="57B27F05"/>
    <w:rsid w:val="57C2639A"/>
    <w:rsid w:val="58753AAD"/>
    <w:rsid w:val="58CB50FD"/>
    <w:rsid w:val="5A0C1B4F"/>
    <w:rsid w:val="5A1F1BD2"/>
    <w:rsid w:val="5A24333C"/>
    <w:rsid w:val="5A565065"/>
    <w:rsid w:val="5BE10DB9"/>
    <w:rsid w:val="5D812854"/>
    <w:rsid w:val="5DD40BD5"/>
    <w:rsid w:val="5E062D59"/>
    <w:rsid w:val="5F223BC2"/>
    <w:rsid w:val="5F473629"/>
    <w:rsid w:val="602E22B3"/>
    <w:rsid w:val="6109503A"/>
    <w:rsid w:val="613A0C15"/>
    <w:rsid w:val="6198016C"/>
    <w:rsid w:val="620B4DE2"/>
    <w:rsid w:val="62456545"/>
    <w:rsid w:val="62614A02"/>
    <w:rsid w:val="62976B01"/>
    <w:rsid w:val="6327140F"/>
    <w:rsid w:val="63FA510E"/>
    <w:rsid w:val="64C26087"/>
    <w:rsid w:val="65A54F53"/>
    <w:rsid w:val="65C6799D"/>
    <w:rsid w:val="66495ED8"/>
    <w:rsid w:val="66721A01"/>
    <w:rsid w:val="678840CF"/>
    <w:rsid w:val="67E10ABE"/>
    <w:rsid w:val="690D36E0"/>
    <w:rsid w:val="69BB3C84"/>
    <w:rsid w:val="6A243D9B"/>
    <w:rsid w:val="6A731776"/>
    <w:rsid w:val="6DD46DD3"/>
    <w:rsid w:val="6E525676"/>
    <w:rsid w:val="6E8E3022"/>
    <w:rsid w:val="6EF956F3"/>
    <w:rsid w:val="6F6F3387"/>
    <w:rsid w:val="727A7B45"/>
    <w:rsid w:val="73D634A1"/>
    <w:rsid w:val="73E55492"/>
    <w:rsid w:val="74F040EF"/>
    <w:rsid w:val="758058F9"/>
    <w:rsid w:val="760A7432"/>
    <w:rsid w:val="76A3038D"/>
    <w:rsid w:val="77D27183"/>
    <w:rsid w:val="795135CA"/>
    <w:rsid w:val="79F6101D"/>
    <w:rsid w:val="7A320D06"/>
    <w:rsid w:val="7D7D2BE0"/>
    <w:rsid w:val="7DD65E4C"/>
    <w:rsid w:val="7F7D2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link w:val="20"/>
    <w:qFormat/>
    <w:uiPriority w:val="0"/>
    <w:pPr>
      <w:keepNext/>
      <w:keepLines/>
      <w:spacing w:before="340" w:after="330" w:line="576" w:lineRule="auto"/>
      <w:jc w:val="both"/>
      <w:outlineLvl w:val="0"/>
    </w:pPr>
    <w:rPr>
      <w:rFonts w:ascii="Calibri" w:hAnsi="Calibri" w:eastAsia="宋体"/>
      <w:b/>
      <w:color w:val="auto"/>
      <w:kern w:val="44"/>
      <w:sz w:val="44"/>
      <w:lang w:eastAsia="zh-CN" w:bidi="ar-SA"/>
    </w:rPr>
  </w:style>
  <w:style w:type="paragraph" w:styleId="3">
    <w:name w:val="heading 2"/>
    <w:basedOn w:val="1"/>
    <w:next w:val="1"/>
    <w:link w:val="21"/>
    <w:qFormat/>
    <w:uiPriority w:val="0"/>
    <w:pPr>
      <w:spacing w:before="100" w:beforeAutospacing="1" w:after="100" w:afterAutospacing="1"/>
      <w:outlineLvl w:val="1"/>
    </w:pPr>
    <w:rPr>
      <w:rFonts w:hint="eastAsia" w:ascii="宋体" w:hAnsi="宋体" w:eastAsia="宋体"/>
      <w:b/>
      <w:bCs/>
      <w:color w:val="auto"/>
      <w:sz w:val="36"/>
      <w:szCs w:val="36"/>
      <w:lang w:eastAsia="zh-CN" w:bidi="ar-SA"/>
    </w:rPr>
  </w:style>
  <w:style w:type="paragraph" w:styleId="4">
    <w:name w:val="heading 3"/>
    <w:basedOn w:val="1"/>
    <w:next w:val="1"/>
    <w:semiHidden/>
    <w:unhideWhenUsed/>
    <w:qFormat/>
    <w:uiPriority w:val="9"/>
    <w:pPr>
      <w:spacing w:beforeAutospacing="1" w:afterAutospacing="1"/>
      <w:outlineLvl w:val="2"/>
    </w:pPr>
    <w:rPr>
      <w:rFonts w:hint="eastAsia" w:ascii="宋体" w:hAnsi="宋体" w:eastAsia="宋体"/>
      <w:b/>
      <w:bCs/>
      <w:sz w:val="27"/>
      <w:szCs w:val="27"/>
      <w:lang w:eastAsia="zh-CN" w:bidi="ar-SA"/>
    </w:rPr>
  </w:style>
  <w:style w:type="paragraph" w:styleId="5">
    <w:name w:val="heading 4"/>
    <w:basedOn w:val="1"/>
    <w:next w:val="1"/>
    <w:link w:val="22"/>
    <w:qFormat/>
    <w:uiPriority w:val="9"/>
    <w:pPr>
      <w:keepNext/>
      <w:widowControl/>
      <w:spacing w:before="240" w:after="60"/>
      <w:ind w:left="864" w:hanging="864"/>
      <w:outlineLvl w:val="3"/>
    </w:pPr>
    <w:rPr>
      <w:rFonts w:ascii="Calibri" w:hAnsi="Calibri" w:eastAsia="宋体"/>
      <w:b/>
      <w:bCs/>
      <w:color w:val="auto"/>
      <w:sz w:val="28"/>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23"/>
    <w:unhideWhenUsed/>
    <w:qFormat/>
    <w:uiPriority w:val="99"/>
    <w:pPr>
      <w:spacing w:after="120"/>
      <w:jc w:val="both"/>
    </w:pPr>
    <w:rPr>
      <w:rFonts w:ascii="Calibri" w:hAnsi="Calibri" w:eastAsia="宋体"/>
      <w:color w:val="auto"/>
      <w:kern w:val="2"/>
      <w:sz w:val="21"/>
      <w:lang w:eastAsia="zh-CN" w:bidi="ar-SA"/>
    </w:rPr>
  </w:style>
  <w:style w:type="paragraph" w:styleId="7">
    <w:name w:val="Plain Text"/>
    <w:basedOn w:val="1"/>
    <w:link w:val="18"/>
    <w:autoRedefine/>
    <w:qFormat/>
    <w:uiPriority w:val="0"/>
    <w:rPr>
      <w:rFonts w:ascii="宋体" w:hAnsi="Courier New"/>
    </w:rPr>
  </w:style>
  <w:style w:type="paragraph" w:styleId="8">
    <w:name w:val="Date"/>
    <w:basedOn w:val="1"/>
    <w:next w:val="1"/>
    <w:link w:val="19"/>
    <w:semiHidden/>
    <w:unhideWhenUsed/>
    <w:qFormat/>
    <w:uiPriority w:val="99"/>
    <w:pPr>
      <w:ind w:left="100" w:leftChars="2500"/>
    </w:pPr>
  </w:style>
  <w:style w:type="paragraph" w:styleId="9">
    <w:name w:val="Balloon Text"/>
    <w:basedOn w:val="1"/>
    <w:link w:val="25"/>
    <w:semiHidden/>
    <w:unhideWhenUsed/>
    <w:qFormat/>
    <w:uiPriority w:val="99"/>
    <w:rPr>
      <w:sz w:val="18"/>
      <w:szCs w:val="18"/>
    </w:rPr>
  </w:style>
  <w:style w:type="paragraph" w:styleId="10">
    <w:name w:val="footer"/>
    <w:basedOn w:val="1"/>
    <w:link w:val="17"/>
    <w:unhideWhenUsed/>
    <w:qFormat/>
    <w:uiPriority w:val="99"/>
    <w:pPr>
      <w:tabs>
        <w:tab w:val="center" w:pos="4153"/>
        <w:tab w:val="right" w:pos="8306"/>
      </w:tabs>
      <w:snapToGrid w:val="0"/>
    </w:pPr>
    <w:rPr>
      <w:sz w:val="18"/>
      <w:szCs w:val="18"/>
    </w:rPr>
  </w:style>
  <w:style w:type="paragraph" w:styleId="11">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2"/>
    <w:basedOn w:val="1"/>
    <w:qFormat/>
    <w:uiPriority w:val="0"/>
    <w:pPr>
      <w:spacing w:line="480" w:lineRule="auto"/>
    </w:pPr>
  </w:style>
  <w:style w:type="character" w:styleId="15">
    <w:name w:val="Strong"/>
    <w:basedOn w:val="14"/>
    <w:qFormat/>
    <w:uiPriority w:val="22"/>
    <w:rPr>
      <w:b/>
    </w:rPr>
  </w:style>
  <w:style w:type="character" w:customStyle="1" w:styleId="16">
    <w:name w:val="页眉 Char"/>
    <w:basedOn w:val="14"/>
    <w:link w:val="11"/>
    <w:qFormat/>
    <w:uiPriority w:val="99"/>
    <w:rPr>
      <w:sz w:val="18"/>
      <w:szCs w:val="18"/>
    </w:rPr>
  </w:style>
  <w:style w:type="character" w:customStyle="1" w:styleId="17">
    <w:name w:val="页脚 Char"/>
    <w:basedOn w:val="14"/>
    <w:link w:val="10"/>
    <w:qFormat/>
    <w:uiPriority w:val="99"/>
    <w:rPr>
      <w:sz w:val="18"/>
      <w:szCs w:val="18"/>
    </w:rPr>
  </w:style>
  <w:style w:type="character" w:customStyle="1" w:styleId="18">
    <w:name w:val="纯文本 Char"/>
    <w:basedOn w:val="14"/>
    <w:link w:val="7"/>
    <w:qFormat/>
    <w:uiPriority w:val="0"/>
    <w:rPr>
      <w:rFonts w:ascii="宋体" w:hAnsi="Courier New" w:eastAsia="Times New Roman" w:cs="Times New Roman"/>
      <w:color w:val="000000"/>
      <w:kern w:val="0"/>
      <w:sz w:val="24"/>
      <w:szCs w:val="24"/>
      <w:lang w:eastAsia="en-US" w:bidi="en-US"/>
    </w:rPr>
  </w:style>
  <w:style w:type="character" w:customStyle="1" w:styleId="19">
    <w:name w:val="日期 Char"/>
    <w:basedOn w:val="14"/>
    <w:link w:val="8"/>
    <w:semiHidden/>
    <w:qFormat/>
    <w:uiPriority w:val="99"/>
    <w:rPr>
      <w:rFonts w:ascii="Times New Roman" w:hAnsi="Times New Roman" w:eastAsia="Times New Roman" w:cs="Times New Roman"/>
      <w:color w:val="000000"/>
      <w:kern w:val="0"/>
      <w:sz w:val="24"/>
      <w:szCs w:val="24"/>
      <w:lang w:eastAsia="en-US" w:bidi="en-US"/>
    </w:rPr>
  </w:style>
  <w:style w:type="character" w:customStyle="1" w:styleId="20">
    <w:name w:val="标题 1 Char"/>
    <w:basedOn w:val="14"/>
    <w:link w:val="2"/>
    <w:qFormat/>
    <w:uiPriority w:val="0"/>
    <w:rPr>
      <w:rFonts w:ascii="Calibri" w:hAnsi="Calibri" w:eastAsia="宋体" w:cs="Times New Roman"/>
      <w:b/>
      <w:kern w:val="44"/>
      <w:sz w:val="44"/>
      <w:szCs w:val="24"/>
    </w:rPr>
  </w:style>
  <w:style w:type="character" w:customStyle="1" w:styleId="21">
    <w:name w:val="标题 2 Char"/>
    <w:basedOn w:val="14"/>
    <w:link w:val="3"/>
    <w:qFormat/>
    <w:uiPriority w:val="0"/>
    <w:rPr>
      <w:rFonts w:ascii="宋体" w:hAnsi="宋体" w:eastAsia="宋体" w:cs="Times New Roman"/>
      <w:b/>
      <w:bCs/>
      <w:kern w:val="0"/>
      <w:sz w:val="36"/>
      <w:szCs w:val="36"/>
    </w:rPr>
  </w:style>
  <w:style w:type="character" w:customStyle="1" w:styleId="22">
    <w:name w:val="标题 4 Char"/>
    <w:basedOn w:val="14"/>
    <w:link w:val="5"/>
    <w:qFormat/>
    <w:uiPriority w:val="9"/>
    <w:rPr>
      <w:rFonts w:ascii="Calibri" w:hAnsi="Calibri" w:eastAsia="宋体" w:cs="Times New Roman"/>
      <w:b/>
      <w:bCs/>
      <w:kern w:val="0"/>
      <w:sz w:val="28"/>
      <w:szCs w:val="28"/>
      <w:lang w:eastAsia="en-US" w:bidi="en-US"/>
    </w:rPr>
  </w:style>
  <w:style w:type="character" w:customStyle="1" w:styleId="23">
    <w:name w:val="正文文本 Char"/>
    <w:basedOn w:val="14"/>
    <w:link w:val="6"/>
    <w:qFormat/>
    <w:uiPriority w:val="99"/>
    <w:rPr>
      <w:rFonts w:ascii="Calibri" w:hAnsi="Calibri" w:eastAsia="宋体" w:cs="Times New Roman"/>
      <w:szCs w:val="24"/>
    </w:rPr>
  </w:style>
  <w:style w:type="paragraph" w:styleId="24">
    <w:name w:val="List Paragraph"/>
    <w:basedOn w:val="1"/>
    <w:qFormat/>
    <w:uiPriority w:val="34"/>
    <w:pPr>
      <w:ind w:firstLine="420" w:firstLineChars="200"/>
    </w:pPr>
  </w:style>
  <w:style w:type="character" w:customStyle="1" w:styleId="25">
    <w:name w:val="批注框文本 Char"/>
    <w:basedOn w:val="14"/>
    <w:link w:val="9"/>
    <w:semiHidden/>
    <w:qFormat/>
    <w:uiPriority w:val="99"/>
    <w:rPr>
      <w:rFonts w:ascii="Times New Roman" w:hAnsi="Times New Roman" w:eastAsia="Times New Roman" w:cs="Times New Roman"/>
      <w:color w:val="000000"/>
      <w:kern w:val="0"/>
      <w:sz w:val="18"/>
      <w:szCs w:val="18"/>
      <w:lang w:eastAsia="en-US" w:bidi="en-US"/>
    </w:rPr>
  </w:style>
  <w:style w:type="paragraph" w:customStyle="1" w:styleId="26">
    <w:name w:val="表格样式"/>
    <w:basedOn w:val="1"/>
    <w:qFormat/>
    <w:uiPriority w:val="0"/>
    <w:pPr>
      <w:wordWrap w:val="0"/>
    </w:pPr>
    <w:rPr>
      <w:rFonts w:ascii="仿宋" w:hAnsi="仿宋" w:eastAsia="仿宋"/>
      <w:sz w:val="30"/>
      <w:szCs w:val="22"/>
    </w:rPr>
  </w:style>
  <w:style w:type="paragraph" w:customStyle="1" w:styleId="27">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8415</Words>
  <Characters>8767</Characters>
  <Lines>55</Lines>
  <Paragraphs>15</Paragraphs>
  <TotalTime>1</TotalTime>
  <ScaleCrop>false</ScaleCrop>
  <LinksUpToDate>false</LinksUpToDate>
  <CharactersWithSpaces>8782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2024-04-16T02:53:00Z</dcterms:created>
  <dc:creator>cdeyy</dc:creator>
  <cp:lastModifiedBy>陈柯岚</cp:lastModifiedBy>
  <cp:lastPrinted>2026-08-05T07:13:00Z</cp:lastPrinted>
  <dcterms:modified xsi:type="dcterms:W3CDTF">2026-08-10T09:33:33Z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0752DC5D2A6E4FBA9888AEF9249CA2DC_13</vt:lpwstr>
  </property>
  <property fmtid="{D5CDD505-2E9C-101B-9397-08002B2CF9AE}" pid="4" name="KSOTemplateDocerSaveRecord">
    <vt:lpwstr>eyJoZGlkIjoiNzFlMjMwZGJkMDk0NjRmNTA4MmJkNjU5M2Y3ZjRhZmEiLCJ1c2VySWQiOiIxMDEwNTk2NjIzIn0=</vt:lpwstr>
  </property>
</Properties>
</file>