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E1FB3">
      <w:pPr>
        <w:jc w:val="center"/>
        <w:rPr>
          <w:rFonts w:hint="eastAsia" w:ascii="仿宋_GB2312" w:hAnsi="仿宋_GB2312" w:eastAsia="方正小标宋简体"/>
          <w:sz w:val="36"/>
          <w:szCs w:val="44"/>
        </w:rPr>
      </w:pPr>
      <w:r>
        <w:rPr>
          <w:rFonts w:ascii="仿宋_GB2312" w:hAnsi="仿宋_GB2312" w:eastAsia="方正小标宋简体"/>
          <w:sz w:val="36"/>
          <w:szCs w:val="44"/>
        </w:rPr>
        <w:t>眼科</w:t>
      </w:r>
      <w:r>
        <w:rPr>
          <w:rFonts w:hint="eastAsia" w:ascii="仿宋_GB2312" w:hAnsi="仿宋_GB2312" w:eastAsia="方正小标宋简体"/>
          <w:sz w:val="36"/>
          <w:szCs w:val="44"/>
          <w:lang w:val="en-US" w:eastAsia="zh-CN"/>
        </w:rPr>
        <w:t>数智诊疗平台建设参数</w:t>
      </w:r>
    </w:p>
    <w:p w14:paraId="0A31CAA2">
      <w:pPr>
        <w:ind w:firstLine="570"/>
        <w:rPr>
          <w:rFonts w:hint="eastAsia" w:ascii="仿宋_GB2312" w:hAnsi="仿宋_GB2312" w:cs="仿宋_GB2312"/>
          <w:b/>
          <w:bCs/>
          <w:sz w:val="28"/>
          <w:szCs w:val="28"/>
        </w:rPr>
      </w:pPr>
      <w:r>
        <w:rPr>
          <w:rFonts w:ascii="仿宋_GB2312" w:hAnsi="仿宋_GB2312" w:cs="仿宋_GB2312"/>
          <w:b/>
          <w:bCs/>
          <w:sz w:val="28"/>
          <w:szCs w:val="28"/>
        </w:rPr>
        <w:t>一、项目总体需求与项目概述</w:t>
      </w:r>
    </w:p>
    <w:p w14:paraId="6CE97F2E">
      <w:pPr>
        <w:ind w:firstLine="570"/>
        <w:rPr>
          <w:rFonts w:ascii="仿宋_GB2312" w:hAnsi="仿宋_GB2312" w:cs="仿宋_GB2312"/>
          <w:sz w:val="28"/>
          <w:szCs w:val="28"/>
        </w:rPr>
      </w:pPr>
      <w:r>
        <w:rPr>
          <w:rFonts w:hint="eastAsia" w:ascii="仿宋_GB2312" w:hAnsi="仿宋_GB2312" w:cs="仿宋_GB2312"/>
          <w:sz w:val="28"/>
          <w:szCs w:val="28"/>
          <w:lang w:val="en-US" w:eastAsia="zh-CN"/>
        </w:rPr>
        <w:t>1、</w:t>
      </w:r>
      <w:r>
        <w:rPr>
          <w:rFonts w:ascii="仿宋_GB2312" w:hAnsi="仿宋_GB2312" w:cs="仿宋_GB2312"/>
          <w:sz w:val="28"/>
          <w:szCs w:val="28"/>
        </w:rPr>
        <w:t>项目总体要求：</w:t>
      </w:r>
    </w:p>
    <w:tbl>
      <w:tblPr>
        <w:tblStyle w:val="19"/>
        <w:tblW w:w="8074" w:type="dxa"/>
        <w:tblInd w:w="30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8"/>
        <w:gridCol w:w="1304"/>
        <w:gridCol w:w="5832"/>
      </w:tblGrid>
      <w:tr w14:paraId="7A8DE7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938" w:type="dxa"/>
            <w:vAlign w:val="center"/>
          </w:tcPr>
          <w:p w14:paraId="54C0E61F">
            <w:pPr>
              <w:snapToGrid w:val="0"/>
              <w:contextualSpacing/>
              <w:jc w:val="center"/>
              <w:rPr>
                <w:rFonts w:hint="eastAsia" w:ascii="仿宋_GB2312" w:hAnsi="仿宋_GB2312"/>
                <w:b/>
                <w:sz w:val="28"/>
                <w:szCs w:val="28"/>
              </w:rPr>
            </w:pPr>
            <w:r>
              <w:rPr>
                <w:rFonts w:ascii="仿宋_GB2312" w:hAnsi="仿宋_GB2312"/>
                <w:b/>
                <w:sz w:val="28"/>
                <w:szCs w:val="28"/>
              </w:rPr>
              <w:t>序号</w:t>
            </w:r>
          </w:p>
        </w:tc>
        <w:tc>
          <w:tcPr>
            <w:tcW w:w="1304" w:type="dxa"/>
            <w:vAlign w:val="center"/>
          </w:tcPr>
          <w:p w14:paraId="07490802">
            <w:pPr>
              <w:snapToGrid w:val="0"/>
              <w:contextualSpacing/>
              <w:jc w:val="center"/>
              <w:rPr>
                <w:rFonts w:hint="eastAsia" w:ascii="仿宋_GB2312" w:hAnsi="仿宋_GB2312"/>
                <w:b/>
                <w:sz w:val="28"/>
                <w:szCs w:val="28"/>
              </w:rPr>
            </w:pPr>
            <w:r>
              <w:rPr>
                <w:rFonts w:ascii="仿宋_GB2312" w:hAnsi="仿宋_GB2312"/>
                <w:b/>
                <w:sz w:val="28"/>
                <w:szCs w:val="28"/>
              </w:rPr>
              <w:t>要求</w:t>
            </w:r>
          </w:p>
        </w:tc>
        <w:tc>
          <w:tcPr>
            <w:tcW w:w="5832" w:type="dxa"/>
            <w:vAlign w:val="center"/>
          </w:tcPr>
          <w:p w14:paraId="17C4F8EA">
            <w:pPr>
              <w:snapToGrid w:val="0"/>
              <w:contextualSpacing/>
              <w:jc w:val="center"/>
              <w:rPr>
                <w:rFonts w:hint="eastAsia" w:ascii="仿宋_GB2312" w:hAnsi="仿宋_GB2312"/>
                <w:b/>
                <w:sz w:val="28"/>
                <w:szCs w:val="28"/>
              </w:rPr>
            </w:pPr>
            <w:r>
              <w:rPr>
                <w:rFonts w:ascii="仿宋_GB2312" w:hAnsi="仿宋_GB2312"/>
                <w:b/>
                <w:sz w:val="28"/>
                <w:szCs w:val="28"/>
              </w:rPr>
              <w:t>具体内容</w:t>
            </w:r>
          </w:p>
        </w:tc>
      </w:tr>
      <w:tr w14:paraId="11996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938" w:type="dxa"/>
            <w:vAlign w:val="center"/>
          </w:tcPr>
          <w:p w14:paraId="30FF7F52">
            <w:pPr>
              <w:snapToGrid w:val="0"/>
              <w:contextualSpacing/>
              <w:jc w:val="center"/>
              <w:rPr>
                <w:rFonts w:hint="eastAsia" w:ascii="仿宋_GB2312" w:hAnsi="仿宋_GB2312"/>
                <w:sz w:val="28"/>
                <w:szCs w:val="28"/>
              </w:rPr>
            </w:pPr>
            <w:r>
              <w:rPr>
                <w:rFonts w:ascii="仿宋_GB2312" w:hAnsi="仿宋_GB2312"/>
                <w:sz w:val="28"/>
                <w:szCs w:val="28"/>
              </w:rPr>
              <w:t>1</w:t>
            </w:r>
          </w:p>
        </w:tc>
        <w:tc>
          <w:tcPr>
            <w:tcW w:w="1304" w:type="dxa"/>
            <w:vAlign w:val="center"/>
          </w:tcPr>
          <w:p w14:paraId="54C441D5">
            <w:pPr>
              <w:snapToGrid w:val="0"/>
              <w:contextualSpacing/>
              <w:jc w:val="center"/>
              <w:rPr>
                <w:rFonts w:hint="default" w:ascii="仿宋_GB2312" w:hAnsi="仿宋_GB2312" w:eastAsia="宋体"/>
                <w:sz w:val="28"/>
                <w:szCs w:val="28"/>
                <w:highlight w:val="yellow"/>
                <w:lang w:val="en-US" w:eastAsia="zh-CN"/>
              </w:rPr>
            </w:pPr>
            <w:r>
              <w:rPr>
                <w:rFonts w:ascii="仿宋_GB2312" w:hAnsi="仿宋_GB2312"/>
                <w:sz w:val="28"/>
                <w:szCs w:val="28"/>
                <w:highlight w:val="none"/>
              </w:rPr>
              <w:t>系统</w:t>
            </w:r>
          </w:p>
        </w:tc>
        <w:tc>
          <w:tcPr>
            <w:tcW w:w="5832" w:type="dxa"/>
            <w:vAlign w:val="center"/>
          </w:tcPr>
          <w:p w14:paraId="1205B4FC">
            <w:pPr>
              <w:snapToGrid w:val="0"/>
              <w:contextualSpacing/>
              <w:jc w:val="left"/>
              <w:rPr>
                <w:rFonts w:hint="eastAsia" w:ascii="仿宋_GB2312" w:hAnsi="仿宋_GB2312"/>
                <w:color w:val="121212"/>
                <w:sz w:val="28"/>
                <w:szCs w:val="28"/>
                <w:highlight w:val="none"/>
                <w:lang w:eastAsia="zh-CN"/>
              </w:rPr>
            </w:pPr>
            <w:r>
              <w:rPr>
                <w:rFonts w:hint="eastAsia" w:ascii="仿宋_GB2312" w:hAnsi="仿宋_GB2312"/>
                <w:color w:val="121212"/>
                <w:sz w:val="28"/>
                <w:szCs w:val="28"/>
                <w:highlight w:val="none"/>
                <w:lang w:eastAsia="zh-CN"/>
              </w:rPr>
              <w:t>系统</w:t>
            </w:r>
            <w:r>
              <w:rPr>
                <w:rFonts w:hint="eastAsia" w:ascii="仿宋_GB2312" w:hAnsi="仿宋_GB2312"/>
                <w:color w:val="121212"/>
                <w:sz w:val="28"/>
                <w:szCs w:val="28"/>
                <w:highlight w:val="none"/>
                <w:lang w:val="en-US" w:eastAsia="zh-CN"/>
              </w:rPr>
              <w:t>应</w:t>
            </w:r>
            <w:r>
              <w:rPr>
                <w:rFonts w:hint="eastAsia" w:ascii="仿宋_GB2312" w:hAnsi="仿宋_GB2312"/>
                <w:color w:val="121212"/>
                <w:sz w:val="28"/>
                <w:szCs w:val="28"/>
                <w:highlight w:val="none"/>
                <w:lang w:eastAsia="zh-CN"/>
              </w:rPr>
              <w:t>为 B/S 浏览器架构，无需安装客户端。</w:t>
            </w:r>
          </w:p>
          <w:p w14:paraId="699B5DEE">
            <w:pPr>
              <w:snapToGrid w:val="0"/>
              <w:contextualSpacing/>
              <w:jc w:val="left"/>
              <w:rPr>
                <w:rFonts w:hint="eastAsia" w:ascii="仿宋_GB2312" w:hAnsi="仿宋_GB2312"/>
                <w:color w:val="FF0000"/>
                <w:sz w:val="28"/>
                <w:szCs w:val="28"/>
                <w:highlight w:val="none"/>
                <w:lang w:eastAsia="zh-CN"/>
              </w:rPr>
            </w:pPr>
            <w:r>
              <w:rPr>
                <w:rFonts w:hint="eastAsia" w:ascii="仿宋_GB2312" w:hAnsi="仿宋_GB2312"/>
                <w:color w:val="121212"/>
                <w:sz w:val="28"/>
                <w:szCs w:val="28"/>
                <w:highlight w:val="none"/>
                <w:lang w:eastAsia="zh-CN"/>
              </w:rPr>
              <w:t>系统支持在线用户数≥</w:t>
            </w:r>
            <w:r>
              <w:rPr>
                <w:rFonts w:hint="eastAsia" w:ascii="仿宋_GB2312" w:hAnsi="仿宋_GB2312"/>
                <w:color w:val="121212"/>
                <w:sz w:val="28"/>
                <w:szCs w:val="28"/>
                <w:highlight w:val="none"/>
                <w:lang w:val="en-US" w:eastAsia="zh-CN"/>
              </w:rPr>
              <w:t>200</w:t>
            </w:r>
            <w:r>
              <w:rPr>
                <w:rFonts w:hint="eastAsia" w:ascii="仿宋_GB2312" w:hAnsi="仿宋_GB2312"/>
                <w:color w:val="121212"/>
                <w:sz w:val="28"/>
                <w:szCs w:val="28"/>
                <w:highlight w:val="none"/>
                <w:lang w:eastAsia="zh-CN"/>
              </w:rPr>
              <w:t xml:space="preserve"> ，并发用户数≥60 。普通业务页面平均响应时间≤</w:t>
            </w:r>
            <w:r>
              <w:rPr>
                <w:rFonts w:hint="eastAsia" w:ascii="仿宋_GB2312" w:hAnsi="仿宋_GB2312"/>
                <w:color w:val="121212"/>
                <w:sz w:val="28"/>
                <w:szCs w:val="28"/>
                <w:highlight w:val="none"/>
                <w:lang w:val="en-US" w:eastAsia="zh-CN"/>
              </w:rPr>
              <w:t>5</w:t>
            </w:r>
            <w:r>
              <w:rPr>
                <w:rFonts w:hint="eastAsia" w:ascii="仿宋_GB2312" w:hAnsi="仿宋_GB2312"/>
                <w:color w:val="121212"/>
                <w:sz w:val="28"/>
                <w:szCs w:val="28"/>
                <w:highlight w:val="none"/>
                <w:lang w:eastAsia="zh-CN"/>
              </w:rPr>
              <w:t>s；</w:t>
            </w:r>
            <w:r>
              <w:rPr>
                <w:rFonts w:hint="eastAsia" w:ascii="仿宋_GB2312" w:hAnsi="仿宋_GB2312"/>
                <w:color w:val="121212"/>
                <w:sz w:val="28"/>
                <w:szCs w:val="28"/>
                <w:highlight w:val="none"/>
              </w:rPr>
              <w:t>患者检索、报告查询响应时间≤</w:t>
            </w:r>
            <w:r>
              <w:rPr>
                <w:rFonts w:hint="eastAsia" w:ascii="仿宋_GB2312" w:hAnsi="仿宋_GB2312"/>
                <w:color w:val="121212"/>
                <w:sz w:val="28"/>
                <w:szCs w:val="28"/>
                <w:highlight w:val="none"/>
                <w:lang w:val="en-US" w:eastAsia="zh-CN"/>
              </w:rPr>
              <w:t>5</w:t>
            </w:r>
            <w:r>
              <w:rPr>
                <w:rFonts w:hint="eastAsia" w:ascii="仿宋_GB2312" w:hAnsi="仿宋_GB2312"/>
                <w:color w:val="121212"/>
                <w:sz w:val="28"/>
                <w:szCs w:val="28"/>
                <w:highlight w:val="none"/>
              </w:rPr>
              <w:t>s</w:t>
            </w:r>
            <w:r>
              <w:rPr>
                <w:rFonts w:hint="eastAsia" w:ascii="仿宋_GB2312" w:hAnsi="仿宋_GB2312"/>
                <w:color w:val="121212"/>
                <w:sz w:val="28"/>
                <w:szCs w:val="28"/>
                <w:highlight w:val="none"/>
                <w:lang w:eastAsia="zh-CN"/>
              </w:rPr>
              <w:t>。</w:t>
            </w:r>
            <w:r>
              <w:rPr>
                <w:rFonts w:hint="eastAsia"/>
                <w:color w:val="121212"/>
                <w:sz w:val="28"/>
                <w:szCs w:val="28"/>
              </w:rPr>
              <w:t>首幅影像显示时间：</w:t>
            </w:r>
            <w:r>
              <w:rPr>
                <w:rFonts w:hint="eastAsia" w:ascii="仿宋_GB2312" w:hAnsi="仿宋_GB2312"/>
                <w:color w:val="121212"/>
                <w:sz w:val="28"/>
                <w:szCs w:val="28"/>
                <w:highlight w:val="none"/>
              </w:rPr>
              <w:t>≤</w:t>
            </w:r>
            <w:r>
              <w:rPr>
                <w:rFonts w:hint="eastAsia" w:ascii="仿宋_GB2312" w:hAnsi="仿宋_GB2312"/>
                <w:color w:val="121212"/>
                <w:sz w:val="28"/>
                <w:szCs w:val="28"/>
                <w:highlight w:val="none"/>
                <w:lang w:eastAsia="zh-CN"/>
              </w:rPr>
              <w:t>5</w:t>
            </w:r>
            <w:r>
              <w:rPr>
                <w:rFonts w:hint="eastAsia"/>
                <w:color w:val="121212"/>
                <w:sz w:val="28"/>
                <w:szCs w:val="28"/>
              </w:rPr>
              <w:t>s</w:t>
            </w:r>
            <w:r>
              <w:rPr>
                <w:rFonts w:hint="eastAsia"/>
                <w:color w:val="121212"/>
                <w:sz w:val="28"/>
                <w:szCs w:val="28"/>
                <w:lang w:eastAsia="zh-CN"/>
              </w:rPr>
              <w:t>。</w:t>
            </w:r>
            <w:r>
              <w:rPr>
                <w:rFonts w:hint="eastAsia"/>
                <w:color w:val="121212"/>
                <w:sz w:val="28"/>
                <w:szCs w:val="28"/>
              </w:rPr>
              <w:t>同屏影像数量:</w:t>
            </w:r>
            <w:r>
              <w:rPr>
                <w:rFonts w:hint="eastAsia" w:ascii="仿宋_GB2312" w:hAnsi="仿宋_GB2312"/>
                <w:color w:val="121212"/>
                <w:sz w:val="28"/>
                <w:szCs w:val="28"/>
                <w:highlight w:val="none"/>
                <w:lang w:eastAsia="zh-CN"/>
              </w:rPr>
              <w:t>≥</w:t>
            </w:r>
            <w:r>
              <w:rPr>
                <w:rFonts w:hint="eastAsia"/>
                <w:color w:val="121212"/>
                <w:sz w:val="28"/>
                <w:szCs w:val="28"/>
              </w:rPr>
              <w:t>8张</w:t>
            </w:r>
            <w:r>
              <w:rPr>
                <w:rFonts w:hint="eastAsia"/>
                <w:color w:val="121212"/>
                <w:sz w:val="28"/>
                <w:szCs w:val="28"/>
                <w:lang w:eastAsia="zh-CN"/>
              </w:rPr>
              <w:t>。</w:t>
            </w:r>
            <w:r>
              <w:rPr>
                <w:rFonts w:hint="eastAsia"/>
                <w:color w:val="121212"/>
                <w:sz w:val="28"/>
                <w:szCs w:val="28"/>
              </w:rPr>
              <w:t>单次影像上传大小</w:t>
            </w:r>
            <w:r>
              <w:rPr>
                <w:rFonts w:hint="eastAsia"/>
                <w:color w:val="121212"/>
                <w:sz w:val="28"/>
                <w:szCs w:val="28"/>
                <w:lang w:eastAsia="zh-CN"/>
              </w:rPr>
              <w:t>支持</w:t>
            </w:r>
            <w:r>
              <w:rPr>
                <w:rFonts w:hint="eastAsia"/>
                <w:color w:val="121212"/>
                <w:sz w:val="28"/>
                <w:szCs w:val="28"/>
              </w:rPr>
              <w:t>：</w:t>
            </w:r>
            <w:r>
              <w:rPr>
                <w:rFonts w:hint="eastAsia" w:ascii="仿宋_GB2312" w:hAnsi="仿宋_GB2312"/>
                <w:color w:val="121212"/>
                <w:sz w:val="28"/>
                <w:szCs w:val="28"/>
                <w:highlight w:val="none"/>
                <w:lang w:eastAsia="zh-CN"/>
              </w:rPr>
              <w:t>≥</w:t>
            </w:r>
            <w:r>
              <w:rPr>
                <w:rFonts w:hint="eastAsia"/>
                <w:color w:val="121212"/>
                <w:sz w:val="28"/>
                <w:szCs w:val="28"/>
              </w:rPr>
              <w:t>50MB</w:t>
            </w:r>
          </w:p>
          <w:p w14:paraId="1B11D01B">
            <w:pPr>
              <w:snapToGrid w:val="0"/>
              <w:contextualSpacing/>
              <w:jc w:val="left"/>
              <w:rPr>
                <w:rFonts w:hint="eastAsia" w:ascii="仿宋_GB2312" w:hAnsi="仿宋_GB2312"/>
                <w:sz w:val="28"/>
                <w:szCs w:val="28"/>
                <w:highlight w:val="none"/>
              </w:rPr>
            </w:pPr>
            <w:r>
              <w:rPr>
                <w:rFonts w:hint="eastAsia" w:ascii="仿宋_GB2312" w:hAnsi="仿宋_GB2312"/>
                <w:sz w:val="28"/>
                <w:szCs w:val="28"/>
                <w:highlight w:val="none"/>
              </w:rPr>
              <w:t>系统实现眼科屈光手术与视光专科业务的数字化全流程管理，以患者基本信息为主线，贯穿屈光手术及角膜塑形镜验配患者的诊疗全过程。</w:t>
            </w:r>
          </w:p>
          <w:p w14:paraId="5F16DDCC">
            <w:pPr>
              <w:snapToGrid w:val="0"/>
              <w:contextualSpacing/>
              <w:jc w:val="left"/>
              <w:rPr>
                <w:rFonts w:hint="eastAsia" w:ascii="仿宋_GB2312" w:hAnsi="仿宋_GB2312"/>
                <w:sz w:val="28"/>
                <w:szCs w:val="28"/>
                <w:highlight w:val="yellow"/>
              </w:rPr>
            </w:pPr>
            <w:r>
              <w:rPr>
                <w:rFonts w:hint="eastAsia" w:ascii="仿宋_GB2312" w:hAnsi="仿宋_GB2312"/>
                <w:sz w:val="28"/>
                <w:szCs w:val="28"/>
                <w:highlight w:val="none"/>
              </w:rPr>
              <w:t>从患者来院登记/挂号后，经专科检查</w:t>
            </w:r>
            <w:r>
              <w:rPr>
                <w:rFonts w:hint="eastAsia" w:ascii="仿宋_GB2312" w:hAnsi="仿宋_GB2312"/>
                <w:sz w:val="28"/>
                <w:szCs w:val="28"/>
                <w:highlight w:val="none"/>
                <w:lang w:eastAsia="zh-CN"/>
              </w:rPr>
              <w:t>，</w:t>
            </w:r>
            <w:r>
              <w:rPr>
                <w:rFonts w:hint="eastAsia" w:ascii="仿宋_GB2312" w:hAnsi="仿宋_GB2312"/>
                <w:sz w:val="28"/>
                <w:szCs w:val="28"/>
                <w:highlight w:val="none"/>
                <w:lang w:val="en-US" w:eastAsia="zh-CN"/>
              </w:rPr>
              <w:t>HIS系统</w:t>
            </w:r>
            <w:r>
              <w:rPr>
                <w:rFonts w:hint="eastAsia" w:ascii="仿宋_GB2312" w:hAnsi="仿宋_GB2312"/>
                <w:sz w:val="28"/>
                <w:szCs w:val="28"/>
                <w:highlight w:val="none"/>
              </w:rPr>
              <w:t>开单与执行、检查报告及影像资料自动化上传与统一管理，到接诊医师调阅检查结果、完成屈光或视光专科结构化病历记录，以及手术预约、手术安排、镜片定制与交付、术后/戴镜后随访、移动端手术预约提醒与查询等全流程闭环管理。系统由眼科屈光手术与视光病历管理模块、眼科检查模块、眼科影像管理模块、系统接口模块（含移动端服务） 四大核心模块构成，各模块间数据紧密关联，全部实现电子化数据流转。</w:t>
            </w:r>
          </w:p>
        </w:tc>
      </w:tr>
      <w:tr w14:paraId="24D5B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938" w:type="dxa"/>
            <w:vAlign w:val="center"/>
          </w:tcPr>
          <w:p w14:paraId="44CF57C5">
            <w:pPr>
              <w:snapToGrid w:val="0"/>
              <w:contextualSpacing/>
              <w:jc w:val="center"/>
              <w:rPr>
                <w:rFonts w:hint="eastAsia" w:ascii="仿宋_GB2312" w:hAnsi="仿宋_GB2312"/>
                <w:sz w:val="28"/>
                <w:szCs w:val="28"/>
              </w:rPr>
            </w:pPr>
            <w:r>
              <w:rPr>
                <w:rFonts w:ascii="仿宋_GB2312" w:hAnsi="仿宋_GB2312"/>
                <w:sz w:val="28"/>
                <w:szCs w:val="28"/>
              </w:rPr>
              <w:t>2</w:t>
            </w:r>
          </w:p>
        </w:tc>
        <w:tc>
          <w:tcPr>
            <w:tcW w:w="1304" w:type="dxa"/>
            <w:vAlign w:val="center"/>
          </w:tcPr>
          <w:p w14:paraId="6166E786">
            <w:pPr>
              <w:snapToGrid w:val="0"/>
              <w:contextualSpacing/>
              <w:jc w:val="center"/>
              <w:rPr>
                <w:rFonts w:hint="eastAsia" w:ascii="仿宋_GB2312" w:hAnsi="仿宋_GB2312"/>
                <w:sz w:val="28"/>
                <w:szCs w:val="28"/>
              </w:rPr>
            </w:pPr>
            <w:r>
              <w:rPr>
                <w:rFonts w:ascii="仿宋_GB2312" w:hAnsi="仿宋_GB2312"/>
                <w:sz w:val="28"/>
                <w:szCs w:val="28"/>
              </w:rPr>
              <w:t>工期</w:t>
            </w:r>
          </w:p>
        </w:tc>
        <w:tc>
          <w:tcPr>
            <w:tcW w:w="5832" w:type="dxa"/>
            <w:vAlign w:val="center"/>
          </w:tcPr>
          <w:p w14:paraId="43CCDA0B">
            <w:pPr>
              <w:snapToGrid w:val="0"/>
              <w:contextualSpacing/>
              <w:jc w:val="left"/>
              <w:rPr>
                <w:rFonts w:hint="eastAsia" w:ascii="仿宋_GB2312" w:hAnsi="仿宋_GB2312"/>
                <w:sz w:val="28"/>
                <w:szCs w:val="28"/>
              </w:rPr>
            </w:pPr>
            <w:r>
              <w:rPr>
                <w:rFonts w:ascii="仿宋_GB2312" w:hAnsi="仿宋_GB2312"/>
                <w:sz w:val="28"/>
                <w:szCs w:val="28"/>
              </w:rPr>
              <w:t>签订合同后12</w:t>
            </w:r>
            <w:r>
              <w:rPr>
                <w:rFonts w:hint="eastAsia" w:ascii="仿宋_GB2312" w:hAnsi="仿宋_GB2312"/>
                <w:sz w:val="28"/>
                <w:szCs w:val="28"/>
              </w:rPr>
              <w:t>个月</w:t>
            </w:r>
            <w:r>
              <w:rPr>
                <w:rFonts w:ascii="仿宋_GB2312" w:hAnsi="仿宋_GB2312"/>
                <w:sz w:val="28"/>
                <w:szCs w:val="28"/>
              </w:rPr>
              <w:t>内完成</w:t>
            </w:r>
            <w:r>
              <w:rPr>
                <w:rFonts w:hint="eastAsia" w:ascii="仿宋_GB2312" w:hAnsi="仿宋_GB2312"/>
                <w:sz w:val="28"/>
                <w:szCs w:val="28"/>
              </w:rPr>
              <w:t>。</w:t>
            </w:r>
          </w:p>
        </w:tc>
      </w:tr>
      <w:tr w14:paraId="173A97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trPr>
        <w:tc>
          <w:tcPr>
            <w:tcW w:w="938" w:type="dxa"/>
            <w:vAlign w:val="center"/>
          </w:tcPr>
          <w:p w14:paraId="356A6C89">
            <w:pPr>
              <w:snapToGrid w:val="0"/>
              <w:contextualSpacing/>
              <w:jc w:val="center"/>
              <w:rPr>
                <w:rFonts w:hint="eastAsia" w:ascii="仿宋_GB2312" w:hAnsi="仿宋_GB2312"/>
                <w:sz w:val="28"/>
                <w:szCs w:val="28"/>
              </w:rPr>
            </w:pPr>
            <w:r>
              <w:rPr>
                <w:rFonts w:ascii="仿宋_GB2312" w:hAnsi="仿宋_GB2312"/>
                <w:sz w:val="28"/>
                <w:szCs w:val="28"/>
              </w:rPr>
              <w:t>3</w:t>
            </w:r>
          </w:p>
        </w:tc>
        <w:tc>
          <w:tcPr>
            <w:tcW w:w="1304" w:type="dxa"/>
            <w:vAlign w:val="center"/>
          </w:tcPr>
          <w:p w14:paraId="4ED2949E">
            <w:pPr>
              <w:snapToGrid w:val="0"/>
              <w:contextualSpacing/>
              <w:jc w:val="center"/>
              <w:rPr>
                <w:rFonts w:hint="eastAsia" w:ascii="仿宋_GB2312" w:hAnsi="仿宋_GB2312"/>
                <w:sz w:val="28"/>
                <w:szCs w:val="28"/>
              </w:rPr>
            </w:pPr>
            <w:r>
              <w:rPr>
                <w:rFonts w:ascii="仿宋_GB2312" w:hAnsi="仿宋_GB2312"/>
                <w:sz w:val="28"/>
                <w:szCs w:val="28"/>
              </w:rPr>
              <w:t>售后服务</w:t>
            </w:r>
          </w:p>
        </w:tc>
        <w:tc>
          <w:tcPr>
            <w:tcW w:w="5832" w:type="dxa"/>
            <w:vAlign w:val="center"/>
          </w:tcPr>
          <w:p w14:paraId="7F9C4ADC">
            <w:pPr>
              <w:snapToGrid w:val="0"/>
              <w:contextualSpacing/>
              <w:jc w:val="left"/>
              <w:rPr>
                <w:rFonts w:hint="eastAsia" w:ascii="仿宋_GB2312" w:hAnsi="仿宋_GB2312" w:eastAsia="宋体"/>
                <w:sz w:val="28"/>
                <w:szCs w:val="28"/>
                <w:lang w:eastAsia="zh-CN"/>
              </w:rPr>
            </w:pPr>
            <w:r>
              <w:rPr>
                <w:rFonts w:ascii="仿宋_GB2312" w:hAnsi="仿宋_GB2312"/>
                <w:sz w:val="28"/>
                <w:szCs w:val="28"/>
              </w:rPr>
              <w:t>自验收合格日起</w:t>
            </w:r>
            <w:r>
              <w:rPr>
                <w:rFonts w:hint="eastAsia" w:ascii="仿宋_GB2312" w:hAnsi="仿宋_GB2312"/>
                <w:sz w:val="28"/>
                <w:szCs w:val="28"/>
                <w:lang w:eastAsia="zh-CN"/>
              </w:rPr>
              <w:t>至少提供为期3年</w:t>
            </w:r>
            <w:r>
              <w:rPr>
                <w:rFonts w:ascii="仿宋_GB2312" w:hAnsi="仿宋_GB2312"/>
                <w:sz w:val="28"/>
                <w:szCs w:val="28"/>
              </w:rPr>
              <w:t>7*24原厂免费售后服务</w:t>
            </w:r>
            <w:r>
              <w:rPr>
                <w:rFonts w:hint="eastAsia" w:ascii="仿宋_GB2312" w:hAnsi="仿宋_GB2312"/>
                <w:sz w:val="28"/>
                <w:szCs w:val="28"/>
                <w:lang w:eastAsia="zh-CN"/>
              </w:rPr>
              <w:t>。</w:t>
            </w:r>
          </w:p>
          <w:p w14:paraId="29F0D57B">
            <w:pPr>
              <w:tabs>
                <w:tab w:val="center" w:pos="4153"/>
                <w:tab w:val="right" w:pos="8306"/>
              </w:tabs>
              <w:snapToGrid w:val="0"/>
              <w:jc w:val="left"/>
              <w:rPr>
                <w:rFonts w:hint="eastAsia" w:ascii="仿宋_GB2312" w:hAnsi="仿宋_GB2312" w:eastAsia="宋体"/>
                <w:sz w:val="28"/>
                <w:szCs w:val="28"/>
              </w:rPr>
            </w:pPr>
            <w:r>
              <w:rPr>
                <w:rFonts w:ascii="仿宋_GB2312" w:hAnsi="仿宋_GB2312"/>
                <w:sz w:val="28"/>
                <w:szCs w:val="28"/>
              </w:rPr>
              <w:t>响应时间：远程响应时间≤30分钟，现场响应时间≤</w:t>
            </w:r>
            <w:r>
              <w:rPr>
                <w:rFonts w:hint="eastAsia" w:ascii="仿宋_GB2312" w:hAnsi="仿宋_GB2312"/>
                <w:sz w:val="28"/>
                <w:szCs w:val="28"/>
                <w:lang w:val="en-US" w:eastAsia="zh-CN"/>
              </w:rPr>
              <w:t>4</w:t>
            </w:r>
            <w:r>
              <w:rPr>
                <w:rFonts w:ascii="仿宋_GB2312" w:hAnsi="仿宋_GB2312"/>
                <w:sz w:val="28"/>
                <w:szCs w:val="28"/>
              </w:rPr>
              <w:t>小时</w:t>
            </w:r>
            <w:r>
              <w:rPr>
                <w:rFonts w:hint="eastAsia" w:ascii="仿宋_GB2312" w:hAnsi="仿宋_GB2312"/>
                <w:sz w:val="28"/>
                <w:szCs w:val="28"/>
              </w:rPr>
              <w:t>。</w:t>
            </w:r>
          </w:p>
        </w:tc>
      </w:tr>
      <w:tr w14:paraId="712207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938" w:type="dxa"/>
            <w:vAlign w:val="center"/>
          </w:tcPr>
          <w:p w14:paraId="3DCEAAA6">
            <w:pPr>
              <w:snapToGrid w:val="0"/>
              <w:contextualSpacing/>
              <w:jc w:val="center"/>
              <w:rPr>
                <w:rFonts w:hint="eastAsia" w:ascii="仿宋_GB2312" w:hAnsi="仿宋_GB2312"/>
                <w:sz w:val="28"/>
                <w:szCs w:val="28"/>
              </w:rPr>
            </w:pPr>
            <w:r>
              <w:rPr>
                <w:rFonts w:ascii="仿宋_GB2312" w:hAnsi="仿宋_GB2312"/>
                <w:sz w:val="28"/>
                <w:szCs w:val="28"/>
              </w:rPr>
              <w:t>4</w:t>
            </w:r>
          </w:p>
        </w:tc>
        <w:tc>
          <w:tcPr>
            <w:tcW w:w="1304" w:type="dxa"/>
            <w:vAlign w:val="center"/>
          </w:tcPr>
          <w:p w14:paraId="3C757B8B">
            <w:pPr>
              <w:snapToGrid w:val="0"/>
              <w:contextualSpacing/>
              <w:jc w:val="center"/>
              <w:rPr>
                <w:rFonts w:hint="eastAsia" w:ascii="仿宋_GB2312" w:hAnsi="仿宋_GB2312"/>
                <w:sz w:val="28"/>
                <w:szCs w:val="28"/>
              </w:rPr>
            </w:pPr>
            <w:r>
              <w:rPr>
                <w:rFonts w:ascii="仿宋_GB2312" w:hAnsi="仿宋_GB2312"/>
                <w:sz w:val="28"/>
                <w:szCs w:val="28"/>
              </w:rPr>
              <w:t>培训</w:t>
            </w:r>
          </w:p>
        </w:tc>
        <w:tc>
          <w:tcPr>
            <w:tcW w:w="5832" w:type="dxa"/>
            <w:vAlign w:val="center"/>
          </w:tcPr>
          <w:p w14:paraId="02116A27">
            <w:pPr>
              <w:snapToGrid w:val="0"/>
              <w:contextualSpacing/>
              <w:jc w:val="left"/>
              <w:rPr>
                <w:rFonts w:hint="eastAsia" w:ascii="仿宋_GB2312" w:hAnsi="仿宋_GB2312"/>
                <w:sz w:val="28"/>
                <w:szCs w:val="28"/>
              </w:rPr>
            </w:pPr>
            <w:r>
              <w:rPr>
                <w:rFonts w:ascii="仿宋_GB2312" w:hAnsi="仿宋_GB2312"/>
                <w:sz w:val="28"/>
                <w:szCs w:val="28"/>
              </w:rPr>
              <w:t>对全体使用人员进行3轮培训</w:t>
            </w:r>
            <w:r>
              <w:rPr>
                <w:rFonts w:hint="eastAsia" w:ascii="仿宋_GB2312" w:hAnsi="仿宋_GB2312"/>
                <w:sz w:val="28"/>
                <w:szCs w:val="28"/>
              </w:rPr>
              <w:t>。</w:t>
            </w:r>
          </w:p>
        </w:tc>
      </w:tr>
      <w:tr w14:paraId="57749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atLeast"/>
        </w:trPr>
        <w:tc>
          <w:tcPr>
            <w:tcW w:w="938" w:type="dxa"/>
            <w:vAlign w:val="center"/>
          </w:tcPr>
          <w:p w14:paraId="41920EB4">
            <w:pPr>
              <w:snapToGrid w:val="0"/>
              <w:contextualSpacing/>
              <w:jc w:val="center"/>
              <w:rPr>
                <w:rFonts w:hint="eastAsia" w:ascii="仿宋_GB2312" w:hAnsi="仿宋_GB2312"/>
                <w:sz w:val="28"/>
                <w:szCs w:val="28"/>
              </w:rPr>
            </w:pPr>
            <w:r>
              <w:rPr>
                <w:rFonts w:ascii="仿宋_GB2312" w:hAnsi="仿宋_GB2312"/>
                <w:sz w:val="28"/>
                <w:szCs w:val="28"/>
              </w:rPr>
              <w:t>5</w:t>
            </w:r>
          </w:p>
        </w:tc>
        <w:tc>
          <w:tcPr>
            <w:tcW w:w="1304" w:type="dxa"/>
            <w:vAlign w:val="center"/>
          </w:tcPr>
          <w:p w14:paraId="1B4AE809">
            <w:pPr>
              <w:snapToGrid w:val="0"/>
              <w:contextualSpacing/>
              <w:jc w:val="center"/>
              <w:rPr>
                <w:rFonts w:hint="eastAsia" w:ascii="仿宋_GB2312" w:hAnsi="仿宋_GB2312"/>
                <w:sz w:val="28"/>
                <w:szCs w:val="28"/>
              </w:rPr>
            </w:pPr>
            <w:r>
              <w:rPr>
                <w:rFonts w:ascii="仿宋_GB2312" w:hAnsi="仿宋_GB2312"/>
                <w:sz w:val="28"/>
                <w:szCs w:val="28"/>
              </w:rPr>
              <w:t>接口</w:t>
            </w:r>
          </w:p>
        </w:tc>
        <w:tc>
          <w:tcPr>
            <w:tcW w:w="5832" w:type="dxa"/>
            <w:vAlign w:val="center"/>
          </w:tcPr>
          <w:p w14:paraId="23B4502D">
            <w:pPr>
              <w:snapToGrid w:val="0"/>
              <w:contextualSpacing/>
              <w:jc w:val="left"/>
              <w:rPr>
                <w:rFonts w:hint="eastAsia" w:ascii="仿宋_GB2312" w:hAnsi="仿宋_GB2312" w:eastAsia="宋体"/>
                <w:sz w:val="28"/>
                <w:szCs w:val="28"/>
                <w:lang w:eastAsia="zh-CN"/>
              </w:rPr>
            </w:pPr>
            <w:r>
              <w:rPr>
                <w:rFonts w:ascii="仿宋_GB2312" w:hAnsi="仿宋_GB2312"/>
                <w:sz w:val="28"/>
                <w:szCs w:val="28"/>
              </w:rPr>
              <w:t>实现与HIS、LIS、PACS等医院现有系统进行数据</w:t>
            </w:r>
            <w:r>
              <w:rPr>
                <w:rFonts w:hint="eastAsia" w:ascii="仿宋_GB2312" w:hAnsi="仿宋_GB2312"/>
                <w:sz w:val="28"/>
                <w:szCs w:val="28"/>
                <w:lang w:val="en-US" w:eastAsia="zh-CN"/>
              </w:rPr>
              <w:t>对接</w:t>
            </w:r>
            <w:r>
              <w:rPr>
                <w:rFonts w:ascii="仿宋_GB2312" w:hAnsi="仿宋_GB2312"/>
                <w:sz w:val="28"/>
                <w:szCs w:val="28"/>
              </w:rPr>
              <w:t>。提供可供第三方调用的标准接口，与全院信息化系统兼容</w:t>
            </w:r>
            <w:r>
              <w:rPr>
                <w:rFonts w:hint="eastAsia" w:ascii="仿宋_GB2312" w:hAnsi="仿宋_GB2312"/>
                <w:sz w:val="28"/>
                <w:szCs w:val="28"/>
              </w:rPr>
              <w:t>。</w:t>
            </w:r>
            <w:r>
              <w:rPr>
                <w:rFonts w:hint="eastAsia" w:ascii="仿宋_GB2312" w:hAnsi="仿宋_GB2312"/>
                <w:sz w:val="28"/>
                <w:szCs w:val="28"/>
                <w:lang w:eastAsia="zh-CN"/>
              </w:rPr>
              <w:t>（</w:t>
            </w:r>
            <w:r>
              <w:rPr>
                <w:rFonts w:hint="eastAsia" w:ascii="仿宋_GB2312" w:hAnsi="仿宋_GB2312"/>
                <w:sz w:val="28"/>
                <w:szCs w:val="28"/>
                <w:lang w:val="en-US" w:eastAsia="zh-CN"/>
              </w:rPr>
              <w:t>接口费用包含在项目建设总费用中</w:t>
            </w:r>
            <w:r>
              <w:rPr>
                <w:rFonts w:hint="eastAsia" w:ascii="仿宋_GB2312" w:hAnsi="仿宋_GB2312"/>
                <w:sz w:val="28"/>
                <w:szCs w:val="28"/>
                <w:lang w:eastAsia="zh-CN"/>
              </w:rPr>
              <w:t>）</w:t>
            </w:r>
          </w:p>
        </w:tc>
      </w:tr>
    </w:tbl>
    <w:p w14:paraId="024BB00C">
      <w:pPr>
        <w:pStyle w:val="3"/>
        <w:rPr>
          <w:shd w:val="clear" w:color="auto" w:fill="F2F2F7"/>
        </w:rPr>
      </w:pPr>
      <w:bookmarkStart w:id="0" w:name="_Toc221887379"/>
      <w:r>
        <w:rPr>
          <w:rFonts w:hint="eastAsia"/>
          <w:shd w:val="clear" w:color="auto" w:fill="F2F2F7"/>
          <w:lang w:val="en-US" w:eastAsia="zh-CN"/>
        </w:rPr>
        <w:t>主</w:t>
      </w:r>
      <w:r>
        <w:rPr>
          <w:rFonts w:hint="eastAsia"/>
          <w:shd w:val="clear" w:color="auto" w:fill="F2F2F7"/>
        </w:rPr>
        <w:t>要模块组成</w:t>
      </w:r>
      <w:bookmarkEnd w:id="0"/>
    </w:p>
    <w:tbl>
      <w:tblPr>
        <w:tblStyle w:val="19"/>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2"/>
        <w:gridCol w:w="2306"/>
        <w:gridCol w:w="5524"/>
      </w:tblGrid>
      <w:tr w14:paraId="6773C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692" w:type="dxa"/>
            <w:vAlign w:val="center"/>
          </w:tcPr>
          <w:p w14:paraId="62FED774">
            <w:pPr>
              <w:snapToGrid w:val="0"/>
              <w:contextualSpacing/>
              <w:jc w:val="center"/>
              <w:rPr>
                <w:rFonts w:ascii="宋体" w:hAnsi="宋体" w:cs="宋体"/>
              </w:rPr>
            </w:pPr>
            <w:r>
              <w:rPr>
                <w:rFonts w:hint="eastAsia" w:ascii="宋体" w:hAnsi="宋体" w:cs="宋体"/>
              </w:rPr>
              <w:t>序号</w:t>
            </w:r>
          </w:p>
        </w:tc>
        <w:tc>
          <w:tcPr>
            <w:tcW w:w="2306" w:type="dxa"/>
            <w:vAlign w:val="center"/>
          </w:tcPr>
          <w:p w14:paraId="6C23AA47">
            <w:pPr>
              <w:snapToGrid w:val="0"/>
              <w:contextualSpacing/>
              <w:rPr>
                <w:rFonts w:ascii="宋体" w:hAnsi="宋体" w:cs="宋体"/>
              </w:rPr>
            </w:pPr>
            <w:r>
              <w:rPr>
                <w:rFonts w:hint="eastAsia" w:ascii="宋体" w:hAnsi="宋体" w:cs="宋体"/>
              </w:rPr>
              <w:t>主要模块</w:t>
            </w:r>
          </w:p>
        </w:tc>
        <w:tc>
          <w:tcPr>
            <w:tcW w:w="5524" w:type="dxa"/>
            <w:vAlign w:val="center"/>
          </w:tcPr>
          <w:p w14:paraId="63A18462">
            <w:pPr>
              <w:snapToGrid w:val="0"/>
              <w:contextualSpacing/>
              <w:rPr>
                <w:rFonts w:ascii="宋体" w:hAnsi="宋体" w:cs="宋体"/>
              </w:rPr>
            </w:pPr>
            <w:r>
              <w:rPr>
                <w:rFonts w:hint="eastAsia" w:ascii="宋体" w:hAnsi="宋体" w:cs="宋体"/>
              </w:rPr>
              <w:t>具体要求</w:t>
            </w:r>
          </w:p>
        </w:tc>
      </w:tr>
      <w:tr w14:paraId="3C037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31" w:hRule="atLeast"/>
        </w:trPr>
        <w:tc>
          <w:tcPr>
            <w:tcW w:w="692" w:type="dxa"/>
            <w:vAlign w:val="center"/>
          </w:tcPr>
          <w:p w14:paraId="06EAC10B">
            <w:pPr>
              <w:snapToGrid w:val="0"/>
              <w:contextualSpacing/>
              <w:jc w:val="center"/>
              <w:rPr>
                <w:rFonts w:ascii="宋体" w:hAnsi="宋体" w:cs="宋体"/>
              </w:rPr>
            </w:pPr>
            <w:bookmarkStart w:id="1" w:name="OLE_LINK1" w:colFirst="1" w:colLast="1"/>
            <w:r>
              <w:rPr>
                <w:rFonts w:hint="eastAsia" w:ascii="宋体" w:hAnsi="宋体" w:cs="宋体"/>
              </w:rPr>
              <w:t>1</w:t>
            </w:r>
          </w:p>
        </w:tc>
        <w:tc>
          <w:tcPr>
            <w:tcW w:w="2306" w:type="dxa"/>
            <w:vAlign w:val="center"/>
          </w:tcPr>
          <w:p w14:paraId="44CA9C2E">
            <w:pPr>
              <w:snapToGrid w:val="0"/>
              <w:contextualSpacing/>
              <w:rPr>
                <w:rFonts w:hint="eastAsia" w:ascii="宋体" w:hAnsi="宋体" w:eastAsia="宋体" w:cs="宋体"/>
                <w:highlight w:val="yellow"/>
                <w:lang w:eastAsia="zh-CN"/>
              </w:rPr>
            </w:pPr>
            <w:r>
              <w:rPr>
                <w:rFonts w:hint="eastAsia"/>
              </w:rPr>
              <w:t>眼科屈光手术与视光病历管理</w:t>
            </w:r>
            <w:r>
              <w:rPr>
                <w:rFonts w:hint="eastAsia"/>
                <w:lang w:val="en-US" w:eastAsia="zh-CN"/>
              </w:rPr>
              <w:t>模块</w:t>
            </w:r>
          </w:p>
        </w:tc>
        <w:tc>
          <w:tcPr>
            <w:tcW w:w="5524" w:type="dxa"/>
            <w:vAlign w:val="center"/>
          </w:tcPr>
          <w:p w14:paraId="2D333307">
            <w:pPr>
              <w:snapToGrid w:val="0"/>
              <w:ind w:firstLine="480" w:firstLineChars="200"/>
              <w:contextualSpacing/>
              <w:rPr>
                <w:rFonts w:ascii="宋体" w:hAnsi="宋体" w:cs="宋体"/>
                <w:highlight w:val="yellow"/>
              </w:rPr>
            </w:pPr>
            <w:r>
              <w:rPr>
                <w:rFonts w:hint="eastAsia" w:ascii="宋体" w:hAnsi="宋体" w:cs="宋体"/>
                <w:highlight w:val="none"/>
              </w:rPr>
              <w:t>本模块为眼科屈光手术与视光业务的核心工作平台，聚焦于屈光手术患者</w:t>
            </w:r>
            <w:r>
              <w:rPr>
                <w:rFonts w:hint="eastAsia" w:ascii="宋体" w:hAnsi="宋体" w:cs="宋体"/>
                <w:highlight w:val="none"/>
                <w:lang w:val="en-US" w:eastAsia="zh-CN"/>
              </w:rPr>
              <w:t>围绕</w:t>
            </w:r>
            <w:r>
              <w:rPr>
                <w:rFonts w:hint="eastAsia" w:ascii="宋体" w:hAnsi="宋体" w:cs="宋体"/>
                <w:highlight w:val="none"/>
              </w:rPr>
              <w:t>手术期全流程管理与角膜塑形镜验配患者全生命周期管理两大专科业务线。支持从患者建档、术前检查、方案制定、知情同意、手术记录、术后随访，到验配评估、镜片定制、交付使用、定期复查的全业务闭环管理。系统不承担通用门诊病历书写职能</w:t>
            </w:r>
            <w:r>
              <w:rPr>
                <w:rFonts w:hint="eastAsia" w:ascii="宋体" w:hAnsi="宋体" w:cs="宋体"/>
                <w:highlight w:val="none"/>
                <w:lang w:eastAsia="zh-CN"/>
              </w:rPr>
              <w:t>。</w:t>
            </w:r>
          </w:p>
        </w:tc>
      </w:tr>
      <w:tr w14:paraId="2086D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692" w:type="dxa"/>
            <w:vAlign w:val="center"/>
          </w:tcPr>
          <w:p w14:paraId="6C4C3E8D">
            <w:pPr>
              <w:snapToGrid w:val="0"/>
              <w:contextualSpacing/>
              <w:jc w:val="center"/>
              <w:rPr>
                <w:rFonts w:ascii="宋体" w:hAnsi="宋体" w:cs="宋体"/>
              </w:rPr>
            </w:pPr>
            <w:r>
              <w:rPr>
                <w:rFonts w:hint="eastAsia" w:ascii="宋体" w:hAnsi="宋体" w:cs="宋体"/>
              </w:rPr>
              <w:t>2</w:t>
            </w:r>
          </w:p>
        </w:tc>
        <w:tc>
          <w:tcPr>
            <w:tcW w:w="2306" w:type="dxa"/>
            <w:vAlign w:val="center"/>
          </w:tcPr>
          <w:p w14:paraId="4ACF3A01">
            <w:pPr>
              <w:snapToGrid w:val="0"/>
              <w:contextualSpacing/>
              <w:rPr>
                <w:rFonts w:hint="eastAsia" w:ascii="宋体" w:hAnsi="宋体" w:eastAsia="宋体" w:cs="宋体"/>
                <w:lang w:eastAsia="zh-CN"/>
              </w:rPr>
            </w:pPr>
            <w:r>
              <w:rPr>
                <w:rFonts w:hint="eastAsia" w:ascii="宋体" w:hAnsi="宋体" w:cs="宋体"/>
              </w:rPr>
              <w:t>眼科检查</w:t>
            </w:r>
            <w:r>
              <w:rPr>
                <w:rFonts w:hint="eastAsia" w:ascii="宋体" w:hAnsi="宋体" w:cs="宋体"/>
                <w:lang w:val="en-US" w:eastAsia="zh-CN"/>
              </w:rPr>
              <w:t>模块</w:t>
            </w:r>
          </w:p>
        </w:tc>
        <w:tc>
          <w:tcPr>
            <w:tcW w:w="5524" w:type="dxa"/>
            <w:vAlign w:val="center"/>
          </w:tcPr>
          <w:p w14:paraId="45466807">
            <w:pPr>
              <w:snapToGrid w:val="0"/>
              <w:ind w:firstLine="240" w:firstLineChars="100"/>
              <w:contextualSpacing/>
              <w:rPr>
                <w:rFonts w:ascii="宋体" w:hAnsi="宋体" w:cs="宋体"/>
              </w:rPr>
            </w:pPr>
            <w:r>
              <w:rPr>
                <w:rFonts w:hint="eastAsia" w:ascii="宋体" w:hAnsi="宋体" w:cs="宋体"/>
              </w:rPr>
              <w:t>以门诊电子病历系统中的患者就诊数据为基础，系统</w:t>
            </w:r>
            <w:r>
              <w:rPr>
                <w:rFonts w:hint="eastAsia" w:ascii="宋体" w:hAnsi="宋体" w:cs="宋体"/>
                <w:lang w:val="en-US" w:eastAsia="zh-CN"/>
              </w:rPr>
              <w:t>支持</w:t>
            </w:r>
            <w:r>
              <w:rPr>
                <w:rFonts w:hint="eastAsia" w:ascii="宋体" w:hAnsi="宋体" w:cs="宋体"/>
              </w:rPr>
              <w:t>同步门诊电子病历中的患者基础信息、就诊主诉、初步诊断等核心数据，同时支持对临床医师开具的各类眼科检查申请（如视力检查、眼压检查、眼底检查、屈光检查、角膜地形图检查等）进行精准分类，提供统一的报告</w:t>
            </w:r>
            <w:r>
              <w:rPr>
                <w:rFonts w:hint="eastAsia" w:ascii="宋体" w:hAnsi="宋体" w:cs="宋体"/>
                <w:lang w:eastAsia="zh-CN"/>
              </w:rPr>
              <w:t>模板</w:t>
            </w:r>
            <w:r>
              <w:rPr>
                <w:rFonts w:hint="eastAsia" w:ascii="宋体" w:hAnsi="宋体" w:cs="宋体"/>
              </w:rPr>
              <w:t>和报告书写模块。检查数据、报告数据统一存储管理，为眼科临床医生提供辅助诊断。</w:t>
            </w:r>
          </w:p>
        </w:tc>
      </w:tr>
      <w:tr w14:paraId="15B14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692" w:type="dxa"/>
            <w:vAlign w:val="center"/>
          </w:tcPr>
          <w:p w14:paraId="4199CE42">
            <w:pPr>
              <w:snapToGrid w:val="0"/>
              <w:contextualSpacing/>
              <w:jc w:val="center"/>
              <w:rPr>
                <w:rFonts w:ascii="宋体" w:hAnsi="宋体" w:cs="宋体"/>
              </w:rPr>
            </w:pPr>
            <w:r>
              <w:rPr>
                <w:rFonts w:hint="eastAsia" w:ascii="宋体" w:hAnsi="宋体" w:cs="宋体"/>
              </w:rPr>
              <w:t>3</w:t>
            </w:r>
          </w:p>
        </w:tc>
        <w:tc>
          <w:tcPr>
            <w:tcW w:w="2306" w:type="dxa"/>
            <w:vAlign w:val="center"/>
          </w:tcPr>
          <w:p w14:paraId="7AA4C110">
            <w:pPr>
              <w:snapToGrid w:val="0"/>
              <w:contextualSpacing/>
              <w:rPr>
                <w:rFonts w:hint="default" w:ascii="宋体" w:hAnsi="宋体" w:eastAsia="宋体" w:cs="宋体"/>
                <w:lang w:val="en-US" w:eastAsia="zh-CN"/>
              </w:rPr>
            </w:pPr>
            <w:r>
              <w:rPr>
                <w:rFonts w:hint="eastAsia" w:ascii="宋体" w:hAnsi="宋体" w:cs="宋体"/>
              </w:rPr>
              <w:t>眼科影像</w:t>
            </w:r>
            <w:r>
              <w:rPr>
                <w:rFonts w:hint="eastAsia" w:ascii="宋体" w:hAnsi="宋体" w:cs="宋体"/>
                <w:lang w:val="en-US" w:eastAsia="zh-CN"/>
              </w:rPr>
              <w:t>管理模块</w:t>
            </w:r>
          </w:p>
        </w:tc>
        <w:tc>
          <w:tcPr>
            <w:tcW w:w="5524" w:type="dxa"/>
            <w:vAlign w:val="center"/>
          </w:tcPr>
          <w:p w14:paraId="751564F9">
            <w:pPr>
              <w:snapToGrid w:val="0"/>
              <w:ind w:firstLine="240" w:firstLineChars="100"/>
              <w:contextualSpacing/>
              <w:rPr>
                <w:rFonts w:ascii="宋体" w:hAnsi="宋体" w:cs="宋体"/>
              </w:rPr>
            </w:pPr>
            <w:r>
              <w:rPr>
                <w:rFonts w:hint="eastAsia" w:ascii="宋体" w:hAnsi="宋体" w:cs="宋体"/>
              </w:rPr>
              <w:t>医院眼科影像管理系统，眼科各种检查设备的接入和管理，支持WORKLIST、自动和手动图像采集、图像管理、报告</w:t>
            </w:r>
            <w:r>
              <w:rPr>
                <w:rFonts w:hint="eastAsia" w:ascii="宋体" w:hAnsi="宋体" w:cs="宋体"/>
                <w:lang w:val="en-US" w:eastAsia="zh-CN"/>
              </w:rPr>
              <w:t>书写、</w:t>
            </w:r>
            <w:r>
              <w:rPr>
                <w:rFonts w:hint="eastAsia" w:ascii="宋体" w:hAnsi="宋体" w:cs="宋体"/>
              </w:rPr>
              <w:t>查询。提供分析和对比功能，以及相关报表及查询等。支持医技和临床科室临床报告和影像共享调阅。</w:t>
            </w:r>
          </w:p>
        </w:tc>
      </w:tr>
      <w:tr w14:paraId="5E9924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3" w:hRule="atLeast"/>
        </w:trPr>
        <w:tc>
          <w:tcPr>
            <w:tcW w:w="692" w:type="dxa"/>
            <w:vAlign w:val="center"/>
          </w:tcPr>
          <w:p w14:paraId="2B42C8DE">
            <w:pPr>
              <w:snapToGrid w:val="0"/>
              <w:contextualSpacing/>
              <w:jc w:val="center"/>
              <w:rPr>
                <w:rFonts w:ascii="宋体" w:hAnsi="宋体" w:cs="宋体"/>
              </w:rPr>
            </w:pPr>
            <w:r>
              <w:rPr>
                <w:rFonts w:hint="eastAsia" w:ascii="宋体" w:hAnsi="宋体" w:cs="宋体"/>
              </w:rPr>
              <w:t>4</w:t>
            </w:r>
          </w:p>
        </w:tc>
        <w:tc>
          <w:tcPr>
            <w:tcW w:w="2306" w:type="dxa"/>
            <w:vAlign w:val="center"/>
          </w:tcPr>
          <w:p w14:paraId="736F3DD2">
            <w:pPr>
              <w:snapToGrid w:val="0"/>
              <w:contextualSpacing/>
              <w:rPr>
                <w:rFonts w:hint="eastAsia" w:ascii="宋体" w:hAnsi="宋体" w:eastAsia="宋体" w:cs="宋体"/>
                <w:lang w:val="en-US" w:eastAsia="zh-CN"/>
              </w:rPr>
            </w:pPr>
            <w:r>
              <w:rPr>
                <w:rFonts w:hint="eastAsia" w:ascii="宋体" w:hAnsi="宋体" w:cs="宋体"/>
              </w:rPr>
              <w:t>系统接口</w:t>
            </w:r>
            <w:r>
              <w:rPr>
                <w:rFonts w:hint="eastAsia" w:ascii="宋体" w:hAnsi="宋体" w:cs="宋体"/>
                <w:lang w:val="en-US" w:eastAsia="zh-CN"/>
              </w:rPr>
              <w:t>模块</w:t>
            </w:r>
          </w:p>
        </w:tc>
        <w:tc>
          <w:tcPr>
            <w:tcW w:w="5524" w:type="dxa"/>
            <w:vAlign w:val="center"/>
          </w:tcPr>
          <w:p w14:paraId="2B2136BB">
            <w:pPr>
              <w:snapToGrid w:val="0"/>
              <w:ind w:firstLine="240" w:firstLineChars="100"/>
              <w:contextualSpacing/>
              <w:rPr>
                <w:rFonts w:ascii="宋体" w:hAnsi="宋体" w:cs="宋体"/>
              </w:rPr>
            </w:pPr>
            <w:r>
              <w:rPr>
                <w:rFonts w:hint="eastAsia" w:ascii="宋体" w:hAnsi="宋体" w:cs="宋体"/>
              </w:rPr>
              <w:t>实现与HIS、LIS、PACS等医院现有系统进行数据对接。提供可供第三方调用的标准接口，与全院信息化系统兼容。</w:t>
            </w:r>
          </w:p>
        </w:tc>
      </w:tr>
      <w:bookmarkEnd w:id="1"/>
    </w:tbl>
    <w:p w14:paraId="3D5C1DA5">
      <w:pPr>
        <w:snapToGrid w:val="0"/>
        <w:ind w:firstLine="480" w:firstLineChars="200"/>
        <w:contextualSpacing/>
        <w:rPr>
          <w:rFonts w:hint="eastAsia" w:ascii="宋体" w:hAnsi="宋体" w:cs="宋体"/>
        </w:rPr>
      </w:pPr>
      <w:bookmarkStart w:id="2" w:name="_Toc9700"/>
      <w:bookmarkStart w:id="3" w:name="_Toc221887380"/>
      <w:r>
        <w:rPr>
          <w:rFonts w:hint="eastAsia" w:ascii="宋体" w:hAnsi="宋体" w:cs="宋体"/>
        </w:rPr>
        <w:t>以上四个模块根据使用用户角色不同实现各自功能，同时数据关联紧密，以患者基本信息为主线，贯穿整个</w:t>
      </w:r>
      <w:r>
        <w:rPr>
          <w:rFonts w:hint="eastAsia" w:ascii="宋体" w:hAnsi="宋体" w:cs="宋体"/>
          <w:lang w:val="en-US" w:eastAsia="zh-CN"/>
        </w:rPr>
        <w:t>眼科检查、</w:t>
      </w:r>
      <w:r>
        <w:rPr>
          <w:rFonts w:hint="eastAsia" w:ascii="宋体" w:hAnsi="宋体" w:cs="宋体"/>
        </w:rPr>
        <w:t>屈光手术与视光专科诊疗</w:t>
      </w:r>
      <w:r>
        <w:rPr>
          <w:rFonts w:hint="eastAsia" w:ascii="宋体" w:hAnsi="宋体" w:cs="宋体"/>
          <w:lang w:val="en-US" w:eastAsia="zh-CN"/>
        </w:rPr>
        <w:t>等</w:t>
      </w:r>
      <w:r>
        <w:rPr>
          <w:rFonts w:hint="eastAsia" w:ascii="宋体" w:hAnsi="宋体" w:cs="宋体"/>
        </w:rPr>
        <w:t>过程</w:t>
      </w:r>
      <w:r>
        <w:rPr>
          <w:rFonts w:hint="eastAsia" w:ascii="宋体" w:hAnsi="宋体" w:cs="宋体"/>
          <w:lang w:eastAsia="zh-CN"/>
        </w:rPr>
        <w:t>。</w:t>
      </w:r>
    </w:p>
    <w:p w14:paraId="2A2321FC">
      <w:pPr>
        <w:pStyle w:val="3"/>
      </w:pPr>
      <w:r>
        <w:rPr>
          <w:rFonts w:hint="eastAsia"/>
        </w:rPr>
        <w:t>功能参数</w:t>
      </w:r>
      <w:bookmarkEnd w:id="2"/>
      <w:bookmarkEnd w:id="3"/>
    </w:p>
    <w:p w14:paraId="784874F8">
      <w:pPr>
        <w:pStyle w:val="4"/>
      </w:pPr>
      <w:r>
        <w:rPr>
          <w:rFonts w:hint="eastAsia"/>
        </w:rPr>
        <w:t>眼科屈光手术与视光病历管理</w:t>
      </w:r>
      <w:r>
        <w:rPr>
          <w:rFonts w:hint="eastAsia"/>
          <w:lang w:val="en-US" w:eastAsia="zh-CN"/>
        </w:rPr>
        <w:t>模块</w:t>
      </w:r>
    </w:p>
    <w:tbl>
      <w:tblPr>
        <w:tblStyle w:val="19"/>
        <w:tblW w:w="8312" w:type="dxa"/>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1225"/>
        <w:gridCol w:w="1336"/>
        <w:gridCol w:w="5295"/>
      </w:tblGrid>
      <w:tr w14:paraId="0283F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restart"/>
            <w:vAlign w:val="center"/>
          </w:tcPr>
          <w:p w14:paraId="2DD91CF7">
            <w:pPr>
              <w:jc w:val="center"/>
              <w:rPr>
                <w:rFonts w:ascii="宋体" w:hAnsi="宋体" w:cs="宋体"/>
              </w:rPr>
            </w:pPr>
            <w:r>
              <w:rPr>
                <w:rFonts w:hint="eastAsia" w:ascii="宋体" w:hAnsi="宋体" w:cs="宋体"/>
                <w:lang w:bidi="ne-NP"/>
              </w:rPr>
              <w:t>序号</w:t>
            </w:r>
          </w:p>
        </w:tc>
        <w:tc>
          <w:tcPr>
            <w:tcW w:w="2561" w:type="dxa"/>
            <w:gridSpan w:val="2"/>
            <w:vAlign w:val="center"/>
          </w:tcPr>
          <w:p w14:paraId="7831C1CB">
            <w:pPr>
              <w:jc w:val="center"/>
              <w:rPr>
                <w:rFonts w:ascii="宋体" w:hAnsi="宋体" w:cs="宋体"/>
              </w:rPr>
            </w:pPr>
            <w:r>
              <w:rPr>
                <w:rFonts w:hint="eastAsia" w:ascii="宋体" w:hAnsi="宋体" w:cs="宋体"/>
                <w:lang w:bidi="ne-NP"/>
              </w:rPr>
              <w:t>功能/性能</w:t>
            </w:r>
          </w:p>
        </w:tc>
        <w:tc>
          <w:tcPr>
            <w:tcW w:w="5295" w:type="dxa"/>
            <w:vMerge w:val="restart"/>
            <w:vAlign w:val="center"/>
          </w:tcPr>
          <w:p w14:paraId="28816620">
            <w:pPr>
              <w:jc w:val="center"/>
              <w:rPr>
                <w:rFonts w:ascii="宋体" w:hAnsi="宋体" w:cs="宋体"/>
                <w:lang w:bidi="ne-NP"/>
              </w:rPr>
            </w:pPr>
            <w:r>
              <w:rPr>
                <w:rFonts w:hint="eastAsia" w:ascii="宋体" w:hAnsi="宋体" w:cs="宋体"/>
                <w:lang w:bidi="ne-NP"/>
              </w:rPr>
              <w:t>具体要求</w:t>
            </w:r>
          </w:p>
        </w:tc>
      </w:tr>
      <w:tr w14:paraId="1A15F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56" w:type="dxa"/>
            <w:vMerge w:val="continue"/>
            <w:vAlign w:val="center"/>
          </w:tcPr>
          <w:p w14:paraId="15423639">
            <w:pPr>
              <w:ind w:firstLine="360"/>
              <w:jc w:val="center"/>
              <w:rPr>
                <w:rFonts w:ascii="宋体" w:hAnsi="宋体" w:cs="宋体"/>
              </w:rPr>
            </w:pPr>
          </w:p>
        </w:tc>
        <w:tc>
          <w:tcPr>
            <w:tcW w:w="1225" w:type="dxa"/>
            <w:vAlign w:val="center"/>
          </w:tcPr>
          <w:p w14:paraId="207DF6A1">
            <w:pPr>
              <w:rPr>
                <w:rFonts w:ascii="宋体" w:hAnsi="宋体" w:cs="宋体"/>
                <w:bCs/>
              </w:rPr>
            </w:pPr>
            <w:r>
              <w:rPr>
                <w:rFonts w:hint="eastAsia" w:ascii="宋体" w:hAnsi="宋体" w:cs="宋体"/>
                <w:bCs/>
              </w:rPr>
              <w:t>一级模块</w:t>
            </w:r>
          </w:p>
        </w:tc>
        <w:tc>
          <w:tcPr>
            <w:tcW w:w="1336" w:type="dxa"/>
            <w:vAlign w:val="center"/>
          </w:tcPr>
          <w:p w14:paraId="6BA41BC4">
            <w:pPr>
              <w:rPr>
                <w:rFonts w:ascii="宋体" w:hAnsi="宋体" w:cs="宋体"/>
                <w:bCs/>
              </w:rPr>
            </w:pPr>
            <w:r>
              <w:rPr>
                <w:rFonts w:hint="eastAsia" w:ascii="宋体" w:hAnsi="宋体" w:cs="宋体"/>
                <w:bCs/>
              </w:rPr>
              <w:t>二级模块</w:t>
            </w:r>
          </w:p>
        </w:tc>
        <w:tc>
          <w:tcPr>
            <w:tcW w:w="5295" w:type="dxa"/>
            <w:vMerge w:val="continue"/>
            <w:vAlign w:val="center"/>
          </w:tcPr>
          <w:p w14:paraId="42F7FEEC">
            <w:pPr>
              <w:ind w:firstLine="420"/>
              <w:rPr>
                <w:rFonts w:ascii="宋体" w:hAnsi="宋体" w:cs="宋体"/>
              </w:rPr>
            </w:pPr>
          </w:p>
        </w:tc>
      </w:tr>
      <w:tr w14:paraId="5B0EE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56" w:type="dxa"/>
            <w:vAlign w:val="center"/>
          </w:tcPr>
          <w:p w14:paraId="4C674E38">
            <w:pPr>
              <w:snapToGrid w:val="0"/>
              <w:contextualSpacing/>
              <w:rPr>
                <w:rFonts w:ascii="宋体" w:hAnsi="宋体" w:cs="宋体"/>
              </w:rPr>
            </w:pPr>
            <w:r>
              <w:rPr>
                <w:rFonts w:hint="eastAsia" w:ascii="宋体" w:hAnsi="宋体" w:cs="宋体"/>
              </w:rPr>
              <w:t>1</w:t>
            </w:r>
          </w:p>
        </w:tc>
        <w:tc>
          <w:tcPr>
            <w:tcW w:w="1225" w:type="dxa"/>
            <w:vAlign w:val="center"/>
          </w:tcPr>
          <w:p w14:paraId="4318745D">
            <w:pPr>
              <w:snapToGrid w:val="0"/>
              <w:contextualSpacing/>
              <w:rPr>
                <w:rFonts w:ascii="宋体" w:hAnsi="宋体" w:cs="宋体"/>
              </w:rPr>
            </w:pPr>
            <w:r>
              <w:rPr>
                <w:rFonts w:hint="eastAsia" w:ascii="宋体" w:hAnsi="宋体" w:cs="宋体"/>
              </w:rPr>
              <w:t>用户登录</w:t>
            </w:r>
          </w:p>
        </w:tc>
        <w:tc>
          <w:tcPr>
            <w:tcW w:w="1336" w:type="dxa"/>
            <w:vAlign w:val="center"/>
          </w:tcPr>
          <w:p w14:paraId="1D3C2F5D">
            <w:pPr>
              <w:snapToGrid w:val="0"/>
              <w:contextualSpacing/>
              <w:rPr>
                <w:rFonts w:ascii="宋体" w:hAnsi="宋体" w:cs="宋体"/>
              </w:rPr>
            </w:pPr>
            <w:r>
              <w:rPr>
                <w:rFonts w:hint="eastAsia" w:ascii="宋体" w:hAnsi="宋体" w:cs="宋体"/>
              </w:rPr>
              <w:t>用户登录</w:t>
            </w:r>
          </w:p>
        </w:tc>
        <w:tc>
          <w:tcPr>
            <w:tcW w:w="5295" w:type="dxa"/>
            <w:vAlign w:val="center"/>
          </w:tcPr>
          <w:p w14:paraId="7F464317">
            <w:pPr>
              <w:pStyle w:val="23"/>
              <w:numPr>
                <w:ilvl w:val="0"/>
                <w:numId w:val="3"/>
              </w:numPr>
              <w:snapToGrid w:val="0"/>
              <w:ind w:firstLineChars="0"/>
              <w:contextualSpacing/>
              <w:rPr>
                <w:rFonts w:ascii="宋体" w:hAnsi="宋体" w:cs="宋体"/>
              </w:rPr>
            </w:pPr>
            <w:r>
              <w:rPr>
                <w:rFonts w:hint="eastAsia" w:ascii="宋体" w:hAnsi="宋体" w:cs="宋体"/>
              </w:rPr>
              <w:t>支持以用户名登录</w:t>
            </w:r>
          </w:p>
          <w:p w14:paraId="6DA616C8">
            <w:pPr>
              <w:pStyle w:val="23"/>
              <w:numPr>
                <w:ilvl w:val="0"/>
                <w:numId w:val="3"/>
              </w:numPr>
              <w:snapToGrid w:val="0"/>
              <w:ind w:firstLineChars="0"/>
              <w:contextualSpacing/>
              <w:rPr>
                <w:rFonts w:ascii="宋体" w:hAnsi="宋体" w:cs="宋体"/>
              </w:rPr>
            </w:pPr>
            <w:r>
              <w:rPr>
                <w:rFonts w:hint="eastAsia" w:ascii="宋体" w:hAnsi="宋体" w:cs="宋体"/>
              </w:rPr>
              <w:t>支持以工号登录</w:t>
            </w:r>
          </w:p>
          <w:p w14:paraId="79317368">
            <w:pPr>
              <w:pStyle w:val="23"/>
              <w:numPr>
                <w:ilvl w:val="0"/>
                <w:numId w:val="3"/>
              </w:numPr>
              <w:snapToGrid w:val="0"/>
              <w:ind w:firstLineChars="0"/>
              <w:contextualSpacing/>
              <w:rPr>
                <w:rFonts w:ascii="宋体" w:hAnsi="宋体" w:cs="宋体"/>
              </w:rPr>
            </w:pPr>
            <w:r>
              <w:rPr>
                <w:rFonts w:hint="eastAsia" w:ascii="宋体" w:hAnsi="宋体" w:cs="宋体"/>
              </w:rPr>
              <w:t>登录密码可自行修改</w:t>
            </w:r>
          </w:p>
          <w:p w14:paraId="2ED8B290">
            <w:pPr>
              <w:pStyle w:val="23"/>
              <w:numPr>
                <w:ilvl w:val="0"/>
                <w:numId w:val="3"/>
              </w:numPr>
              <w:snapToGrid w:val="0"/>
              <w:ind w:firstLineChars="0"/>
              <w:contextualSpacing/>
              <w:rPr>
                <w:rFonts w:ascii="宋体" w:hAnsi="宋体" w:cs="宋体"/>
              </w:rPr>
            </w:pPr>
            <w:r>
              <w:rPr>
                <w:rFonts w:hint="eastAsia" w:ascii="宋体" w:hAnsi="宋体" w:cs="宋体"/>
              </w:rPr>
              <w:t>提供记住密码功能</w:t>
            </w:r>
          </w:p>
          <w:p w14:paraId="640D1294">
            <w:pPr>
              <w:pStyle w:val="23"/>
              <w:numPr>
                <w:ilvl w:val="0"/>
                <w:numId w:val="3"/>
              </w:numPr>
              <w:snapToGrid w:val="0"/>
              <w:ind w:firstLineChars="0"/>
              <w:contextualSpacing/>
              <w:rPr>
                <w:rFonts w:ascii="宋体" w:hAnsi="宋体" w:cs="宋体"/>
              </w:rPr>
            </w:pPr>
            <w:r>
              <w:rPr>
                <w:rFonts w:hint="eastAsia" w:ascii="宋体" w:hAnsi="宋体" w:cs="宋体"/>
              </w:rPr>
              <w:t>支持重置登录信息</w:t>
            </w:r>
          </w:p>
          <w:p w14:paraId="497B28A4">
            <w:pPr>
              <w:pStyle w:val="23"/>
              <w:numPr>
                <w:ilvl w:val="0"/>
                <w:numId w:val="3"/>
              </w:numPr>
              <w:snapToGrid w:val="0"/>
              <w:ind w:firstLineChars="0"/>
              <w:contextualSpacing/>
              <w:rPr>
                <w:rFonts w:ascii="宋体" w:hAnsi="宋体" w:cs="宋体"/>
              </w:rPr>
            </w:pPr>
            <w:r>
              <w:rPr>
                <w:rFonts w:hint="eastAsia" w:ascii="宋体" w:hAnsi="宋体" w:cs="宋体"/>
              </w:rPr>
              <w:t>帐号及密码在后台用户管理模块中配置</w:t>
            </w:r>
          </w:p>
          <w:p w14:paraId="34D3C999">
            <w:pPr>
              <w:pStyle w:val="23"/>
              <w:numPr>
                <w:ilvl w:val="0"/>
                <w:numId w:val="3"/>
              </w:numPr>
              <w:snapToGrid w:val="0"/>
              <w:ind w:firstLineChars="0"/>
              <w:contextualSpacing/>
              <w:rPr>
                <w:rFonts w:ascii="宋体" w:hAnsi="宋体" w:cs="宋体"/>
              </w:rPr>
            </w:pPr>
            <w:r>
              <w:rPr>
                <w:rFonts w:hint="eastAsia" w:ascii="宋体" w:hAnsi="宋体" w:cs="宋体"/>
              </w:rPr>
              <w:t>CA协同签名认证登录</w:t>
            </w:r>
          </w:p>
          <w:p w14:paraId="2F653BE8">
            <w:pPr>
              <w:pStyle w:val="23"/>
              <w:numPr>
                <w:ilvl w:val="0"/>
                <w:numId w:val="3"/>
              </w:numPr>
              <w:snapToGrid w:val="0"/>
              <w:ind w:firstLineChars="0"/>
              <w:contextualSpacing/>
              <w:rPr>
                <w:rFonts w:ascii="宋体" w:hAnsi="宋体" w:cs="宋体"/>
              </w:rPr>
            </w:pPr>
            <w:r>
              <w:rPr>
                <w:rFonts w:hint="eastAsia" w:ascii="宋体" w:hAnsi="宋体" w:cs="宋体"/>
              </w:rPr>
              <w:t>统一门户对接登录</w:t>
            </w:r>
          </w:p>
        </w:tc>
      </w:tr>
      <w:tr w14:paraId="23378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1" w:hRule="atLeast"/>
        </w:trPr>
        <w:tc>
          <w:tcPr>
            <w:tcW w:w="456" w:type="dxa"/>
            <w:vAlign w:val="center"/>
          </w:tcPr>
          <w:p w14:paraId="46F0B4DC">
            <w:pPr>
              <w:snapToGrid w:val="0"/>
              <w:contextualSpacing/>
              <w:rPr>
                <w:rFonts w:ascii="宋体" w:hAnsi="宋体" w:cs="宋体"/>
              </w:rPr>
            </w:pPr>
            <w:r>
              <w:rPr>
                <w:rFonts w:hint="eastAsia" w:ascii="宋体" w:hAnsi="宋体" w:cs="宋体"/>
              </w:rPr>
              <w:t>2</w:t>
            </w:r>
          </w:p>
        </w:tc>
        <w:tc>
          <w:tcPr>
            <w:tcW w:w="1225" w:type="dxa"/>
            <w:vAlign w:val="center"/>
          </w:tcPr>
          <w:p w14:paraId="7B53290B">
            <w:pPr>
              <w:snapToGrid w:val="0"/>
              <w:contextualSpacing/>
              <w:rPr>
                <w:rFonts w:ascii="宋体" w:hAnsi="宋体" w:cs="宋体"/>
              </w:rPr>
            </w:pPr>
            <w:r>
              <w:rPr>
                <w:rFonts w:hint="eastAsia" w:ascii="宋体" w:hAnsi="宋体" w:cs="宋体"/>
              </w:rPr>
              <w:t>系统首页</w:t>
            </w:r>
          </w:p>
        </w:tc>
        <w:tc>
          <w:tcPr>
            <w:tcW w:w="1336" w:type="dxa"/>
            <w:vAlign w:val="center"/>
          </w:tcPr>
          <w:p w14:paraId="6B55FFB4">
            <w:pPr>
              <w:snapToGrid w:val="0"/>
              <w:contextualSpacing/>
              <w:rPr>
                <w:rFonts w:ascii="宋体" w:hAnsi="宋体" w:cs="宋体"/>
              </w:rPr>
            </w:pPr>
            <w:r>
              <w:rPr>
                <w:rFonts w:hint="eastAsia" w:ascii="宋体" w:hAnsi="宋体" w:cs="宋体"/>
              </w:rPr>
              <w:t>系统首页</w:t>
            </w:r>
          </w:p>
        </w:tc>
        <w:tc>
          <w:tcPr>
            <w:tcW w:w="5295" w:type="dxa"/>
            <w:vAlign w:val="center"/>
          </w:tcPr>
          <w:p w14:paraId="36D7D419">
            <w:pPr>
              <w:pStyle w:val="23"/>
              <w:numPr>
                <w:ilvl w:val="0"/>
                <w:numId w:val="4"/>
              </w:numPr>
              <w:snapToGrid w:val="0"/>
              <w:ind w:firstLineChars="0"/>
              <w:contextualSpacing/>
              <w:rPr>
                <w:rFonts w:ascii="宋体" w:hAnsi="宋体" w:cs="宋体"/>
              </w:rPr>
            </w:pPr>
            <w:r>
              <w:rPr>
                <w:rFonts w:hint="eastAsia" w:ascii="宋体" w:hAnsi="宋体" w:cs="宋体"/>
              </w:rPr>
              <w:t>实时统计当日</w:t>
            </w:r>
            <w:r>
              <w:rPr>
                <w:rFonts w:hint="eastAsia" w:ascii="宋体" w:hAnsi="宋体" w:cs="宋体"/>
                <w:lang w:val="en-US" w:eastAsia="zh-CN"/>
              </w:rPr>
              <w:t>屈光和视光就诊</w:t>
            </w:r>
            <w:r>
              <w:rPr>
                <w:rFonts w:hint="eastAsia" w:ascii="宋体" w:hAnsi="宋体" w:cs="宋体"/>
              </w:rPr>
              <w:t>总数、已诊人数、待诊人数；检查单总数、已完成检查单、待完成检查单总数</w:t>
            </w:r>
            <w:r>
              <w:rPr>
                <w:rFonts w:hint="eastAsia" w:ascii="宋体" w:hAnsi="宋体" w:cs="宋体"/>
                <w:lang w:eastAsia="zh-CN"/>
              </w:rPr>
              <w:t>。</w:t>
            </w:r>
          </w:p>
          <w:p w14:paraId="4B3D24E4">
            <w:pPr>
              <w:pStyle w:val="23"/>
              <w:numPr>
                <w:ilvl w:val="0"/>
                <w:numId w:val="4"/>
              </w:numPr>
              <w:snapToGrid w:val="0"/>
              <w:ind w:firstLineChars="0"/>
              <w:contextualSpacing/>
              <w:rPr>
                <w:rFonts w:ascii="宋体" w:hAnsi="宋体" w:cs="宋体"/>
              </w:rPr>
            </w:pPr>
            <w:r>
              <w:rPr>
                <w:rFonts w:hint="eastAsia" w:ascii="宋体" w:hAnsi="宋体" w:cs="宋体"/>
              </w:rPr>
              <w:t>时间轴展示当日</w:t>
            </w:r>
            <w:r>
              <w:rPr>
                <w:rFonts w:hint="eastAsia" w:ascii="宋体" w:hAnsi="宋体" w:cs="宋体"/>
                <w:lang w:val="en-US" w:eastAsia="zh-CN"/>
              </w:rPr>
              <w:t>屈光和视光</w:t>
            </w:r>
            <w:r>
              <w:rPr>
                <w:rFonts w:hint="eastAsia" w:ascii="宋体" w:hAnsi="宋体" w:cs="宋体"/>
              </w:rPr>
              <w:t>接诊、当日检查单执行情况；列表展示当日手术安排信息</w:t>
            </w:r>
            <w:r>
              <w:rPr>
                <w:rFonts w:hint="eastAsia" w:ascii="宋体" w:hAnsi="宋体" w:cs="宋体"/>
                <w:lang w:eastAsia="zh-CN"/>
              </w:rPr>
              <w:t>。</w:t>
            </w:r>
          </w:p>
          <w:p w14:paraId="36869CFB">
            <w:pPr>
              <w:pStyle w:val="23"/>
              <w:numPr>
                <w:ilvl w:val="0"/>
                <w:numId w:val="4"/>
              </w:numPr>
              <w:snapToGrid w:val="0"/>
              <w:ind w:firstLineChars="0"/>
              <w:contextualSpacing/>
              <w:rPr>
                <w:rFonts w:ascii="宋体" w:hAnsi="宋体" w:cs="宋体"/>
              </w:rPr>
            </w:pPr>
            <w:r>
              <w:rPr>
                <w:rFonts w:hint="eastAsia" w:ascii="宋体" w:hAnsi="宋体" w:cs="宋体"/>
              </w:rPr>
              <w:t>在页面右上方设置退出登录按钮</w:t>
            </w:r>
            <w:r>
              <w:rPr>
                <w:rFonts w:hint="eastAsia" w:ascii="宋体" w:hAnsi="宋体" w:cs="宋体"/>
                <w:lang w:eastAsia="zh-CN"/>
              </w:rPr>
              <w:t>。</w:t>
            </w:r>
          </w:p>
          <w:p w14:paraId="593DF0A1">
            <w:pPr>
              <w:pStyle w:val="23"/>
              <w:numPr>
                <w:ilvl w:val="0"/>
                <w:numId w:val="4"/>
              </w:numPr>
              <w:snapToGrid w:val="0"/>
              <w:ind w:firstLineChars="0"/>
              <w:contextualSpacing/>
              <w:rPr>
                <w:rFonts w:ascii="宋体" w:hAnsi="宋体" w:cs="宋体"/>
              </w:rPr>
            </w:pPr>
            <w:r>
              <w:rPr>
                <w:rFonts w:hint="eastAsia" w:ascii="宋体" w:hAnsi="宋体" w:cs="宋体"/>
              </w:rPr>
              <w:t>提供重置密码功能</w:t>
            </w:r>
            <w:r>
              <w:rPr>
                <w:rFonts w:hint="eastAsia" w:ascii="宋体" w:hAnsi="宋体" w:cs="宋体"/>
                <w:lang w:eastAsia="zh-CN"/>
              </w:rPr>
              <w:t>。</w:t>
            </w:r>
          </w:p>
        </w:tc>
      </w:tr>
      <w:tr w14:paraId="012FB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restart"/>
            <w:vAlign w:val="center"/>
          </w:tcPr>
          <w:p w14:paraId="60272F09">
            <w:pPr>
              <w:snapToGrid w:val="0"/>
              <w:contextualSpacing/>
              <w:jc w:val="both"/>
              <w:rPr>
                <w:rFonts w:hint="eastAsia" w:ascii="宋体" w:hAnsi="宋体" w:eastAsia="宋体" w:cs="宋体"/>
                <w:lang w:val="en-US" w:eastAsia="zh-CN"/>
              </w:rPr>
            </w:pPr>
            <w:r>
              <w:rPr>
                <w:rFonts w:hint="eastAsia" w:ascii="宋体" w:hAnsi="宋体" w:cs="宋体"/>
                <w:lang w:val="en-US" w:eastAsia="zh-CN"/>
              </w:rPr>
              <w:t>3</w:t>
            </w:r>
          </w:p>
        </w:tc>
        <w:tc>
          <w:tcPr>
            <w:tcW w:w="1225" w:type="dxa"/>
            <w:vMerge w:val="restart"/>
          </w:tcPr>
          <w:p w14:paraId="58CED48E">
            <w:pPr>
              <w:snapToGrid w:val="0"/>
              <w:contextualSpacing/>
              <w:jc w:val="both"/>
              <w:rPr>
                <w:rFonts w:ascii="宋体" w:hAnsi="宋体" w:cs="宋体"/>
              </w:rPr>
            </w:pPr>
            <w:r>
              <w:rPr>
                <w:rFonts w:hint="eastAsia"/>
              </w:rPr>
              <w:t>屈光手术与视光病历管理</w:t>
            </w:r>
          </w:p>
        </w:tc>
        <w:tc>
          <w:tcPr>
            <w:tcW w:w="1336" w:type="dxa"/>
            <w:vAlign w:val="center"/>
          </w:tcPr>
          <w:p w14:paraId="73C8C40D">
            <w:pPr>
              <w:snapToGrid w:val="0"/>
              <w:contextualSpacing/>
              <w:rPr>
                <w:rFonts w:ascii="宋体" w:hAnsi="宋体" w:cs="宋体"/>
              </w:rPr>
            </w:pPr>
            <w:r>
              <w:rPr>
                <w:rFonts w:hint="eastAsia" w:ascii="宋体" w:hAnsi="宋体" w:cs="宋体"/>
              </w:rPr>
              <w:t>屈光手术病历</w:t>
            </w:r>
          </w:p>
        </w:tc>
        <w:tc>
          <w:tcPr>
            <w:tcW w:w="5295" w:type="dxa"/>
            <w:vAlign w:val="center"/>
          </w:tcPr>
          <w:p w14:paraId="11AE470A">
            <w:pPr>
              <w:pStyle w:val="23"/>
              <w:numPr>
                <w:ilvl w:val="0"/>
                <w:numId w:val="5"/>
              </w:numPr>
              <w:snapToGrid w:val="0"/>
              <w:ind w:firstLineChars="0"/>
              <w:contextualSpacing/>
              <w:rPr>
                <w:rFonts w:ascii="宋体" w:hAnsi="宋体" w:cs="宋体"/>
              </w:rPr>
            </w:pPr>
            <w:r>
              <w:rPr>
                <w:rFonts w:hint="eastAsia" w:ascii="宋体" w:hAnsi="宋体" w:cs="宋体"/>
              </w:rPr>
              <w:t>支持医生对屈光患者围手术期全过程详细管理，贯穿术前、术中、术后全流程，主要功能包含以下内容：</w:t>
            </w:r>
          </w:p>
          <w:p w14:paraId="259C4056">
            <w:pPr>
              <w:pStyle w:val="23"/>
              <w:numPr>
                <w:ilvl w:val="0"/>
                <w:numId w:val="5"/>
              </w:numPr>
              <w:snapToGrid w:val="0"/>
              <w:ind w:firstLineChars="0"/>
              <w:contextualSpacing/>
              <w:rPr>
                <w:rFonts w:ascii="宋体" w:hAnsi="宋体" w:cs="宋体"/>
              </w:rPr>
            </w:pPr>
            <w:r>
              <w:rPr>
                <w:rFonts w:hint="eastAsia" w:ascii="宋体" w:hAnsi="宋体" w:cs="宋体"/>
              </w:rPr>
              <w:t>屈光病历，实现手术情况（检查费用、检查费用日期、手术费用、手术费用日期、手术方式），病史（配镜史、其他屈光手术史、眼疾史全身病史、外伤史、药物过敏史、家庭近视史），检查结果（眼轴、视力、瞳孔直径、角膜直径、眼压、角膜地形图、Kappa角、角膜厚度、电脑验光、散瞳检影、散瞳试片、小瞳试片、前节检查、眼底检查、处理意见、备注）相关内容记录</w:t>
            </w:r>
          </w:p>
          <w:p w14:paraId="40B8D9FF">
            <w:pPr>
              <w:pStyle w:val="23"/>
              <w:numPr>
                <w:ilvl w:val="0"/>
                <w:numId w:val="5"/>
              </w:numPr>
              <w:snapToGrid w:val="0"/>
              <w:ind w:firstLineChars="0"/>
              <w:contextualSpacing/>
              <w:rPr>
                <w:rFonts w:ascii="宋体" w:hAnsi="宋体" w:cs="宋体"/>
              </w:rPr>
            </w:pPr>
            <w:r>
              <w:rPr>
                <w:rFonts w:hint="eastAsia" w:ascii="宋体" w:hAnsi="宋体" w:cs="宋体"/>
              </w:rPr>
              <w:t>手术预约，实现手术预约项目、预约时间记录和打印</w:t>
            </w:r>
          </w:p>
          <w:p w14:paraId="53FB6C34">
            <w:pPr>
              <w:pStyle w:val="23"/>
              <w:numPr>
                <w:ilvl w:val="0"/>
                <w:numId w:val="5"/>
              </w:numPr>
              <w:snapToGrid w:val="0"/>
              <w:ind w:firstLineChars="0"/>
              <w:contextualSpacing/>
              <w:rPr>
                <w:rFonts w:ascii="宋体" w:hAnsi="宋体" w:cs="宋体"/>
              </w:rPr>
            </w:pPr>
            <w:r>
              <w:rPr>
                <w:rFonts w:hint="eastAsia" w:ascii="宋体" w:hAnsi="宋体" w:cs="宋体"/>
              </w:rPr>
              <w:t>同意书，实现角膜交联术知情同意书、激光性角膜屈光手术知情同意书、儿童激光角膜屈光手术知情同意书、屈光性人工晶体植入手术知情同意书、屈光性人工晶体植入晶体知情同意书填写记录和打印</w:t>
            </w:r>
          </w:p>
          <w:p w14:paraId="7A5EBD9A">
            <w:pPr>
              <w:pStyle w:val="23"/>
              <w:numPr>
                <w:ilvl w:val="0"/>
                <w:numId w:val="5"/>
              </w:numPr>
              <w:snapToGrid w:val="0"/>
              <w:ind w:firstLineChars="0"/>
              <w:contextualSpacing/>
              <w:rPr>
                <w:rFonts w:ascii="宋体" w:hAnsi="宋体" w:cs="宋体"/>
              </w:rPr>
            </w:pPr>
            <w:r>
              <w:rPr>
                <w:rFonts w:hint="eastAsia" w:ascii="宋体" w:hAnsi="宋体" w:cs="宋体"/>
              </w:rPr>
              <w:t>手术记录，实现手术方式、矫正度数、光区直径、顶点距离、底座厚度、帽厚度、透镜厚度、剩余基质层厚度、SCC值、Kappa角、手术医生、配台技师、配台护士、手术日期、备注、记录人相关内容记录</w:t>
            </w:r>
          </w:p>
          <w:p w14:paraId="0C1F9732">
            <w:pPr>
              <w:pStyle w:val="23"/>
              <w:numPr>
                <w:ilvl w:val="0"/>
                <w:numId w:val="5"/>
              </w:numPr>
              <w:snapToGrid w:val="0"/>
              <w:ind w:firstLineChars="0"/>
              <w:contextualSpacing/>
              <w:rPr>
                <w:rFonts w:ascii="宋体" w:hAnsi="宋体" w:cs="宋体"/>
              </w:rPr>
            </w:pPr>
            <w:r>
              <w:rPr>
                <w:rFonts w:hint="eastAsia" w:ascii="宋体" w:hAnsi="宋体" w:cs="宋体"/>
              </w:rPr>
              <w:t>术后复查，实现主诉、视力、小瞳试片、裂隙灯、地形图、眼压、处理、备注、复查时间相关内容记录</w:t>
            </w:r>
          </w:p>
          <w:p w14:paraId="3584DA38">
            <w:pPr>
              <w:pStyle w:val="23"/>
              <w:numPr>
                <w:ilvl w:val="0"/>
                <w:numId w:val="5"/>
              </w:numPr>
              <w:snapToGrid w:val="0"/>
              <w:ind w:firstLineChars="0"/>
              <w:contextualSpacing/>
              <w:rPr>
                <w:rFonts w:ascii="宋体" w:hAnsi="宋体" w:cs="宋体"/>
              </w:rPr>
            </w:pPr>
            <w:r>
              <w:rPr>
                <w:rFonts w:hint="eastAsia" w:ascii="宋体" w:hAnsi="宋体" w:cs="宋体"/>
              </w:rPr>
              <w:t>安全核查与风险评 估，实现术前病情及手术风险评估表、手术安全核查表、耗材条码粘贴单打印</w:t>
            </w:r>
          </w:p>
          <w:p w14:paraId="1BC96B58">
            <w:pPr>
              <w:pStyle w:val="23"/>
              <w:numPr>
                <w:ilvl w:val="0"/>
                <w:numId w:val="5"/>
              </w:numPr>
              <w:snapToGrid w:val="0"/>
              <w:ind w:firstLineChars="0"/>
              <w:contextualSpacing/>
              <w:rPr>
                <w:rFonts w:ascii="宋体" w:hAnsi="宋体" w:cs="宋体"/>
              </w:rPr>
            </w:pPr>
            <w:r>
              <w:rPr>
                <w:rFonts w:hint="eastAsia" w:ascii="宋体" w:hAnsi="宋体" w:cs="宋体"/>
              </w:rPr>
              <w:t>晶体选择评估表，实现晶体选择评估表打印</w:t>
            </w:r>
          </w:p>
          <w:p w14:paraId="18DC9BAC">
            <w:pPr>
              <w:pStyle w:val="23"/>
              <w:numPr>
                <w:ilvl w:val="0"/>
                <w:numId w:val="5"/>
              </w:numPr>
              <w:snapToGrid w:val="0"/>
              <w:ind w:firstLineChars="0"/>
              <w:contextualSpacing/>
              <w:rPr>
                <w:rFonts w:ascii="宋体" w:hAnsi="宋体" w:cs="宋体"/>
              </w:rPr>
            </w:pPr>
            <w:r>
              <w:rPr>
                <w:rFonts w:hint="eastAsia" w:ascii="宋体" w:hAnsi="宋体" w:cs="宋体"/>
              </w:rPr>
              <w:t>图片上传，实现患者纸质屈光手术病历拍照上传到眼科电子病历系统</w:t>
            </w:r>
          </w:p>
          <w:p w14:paraId="5B69D58D">
            <w:pPr>
              <w:pStyle w:val="23"/>
              <w:numPr>
                <w:ilvl w:val="0"/>
                <w:numId w:val="5"/>
              </w:numPr>
              <w:snapToGrid w:val="0"/>
              <w:ind w:firstLineChars="0"/>
              <w:contextualSpacing/>
              <w:rPr>
                <w:rFonts w:ascii="宋体" w:hAnsi="宋体" w:cs="宋体"/>
              </w:rPr>
            </w:pPr>
            <w:r>
              <w:rPr>
                <w:rFonts w:hint="eastAsia" w:ascii="宋体" w:hAnsi="宋体" w:cs="宋体"/>
              </w:rPr>
              <w:t>病历管理，支持按照患者ID、姓名、性别、年龄、手术方式等条件查询列表数据，并且实现数据导出</w:t>
            </w:r>
          </w:p>
        </w:tc>
      </w:tr>
      <w:tr w14:paraId="0A177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9B5A254">
            <w:pPr>
              <w:snapToGrid w:val="0"/>
              <w:ind w:firstLine="360"/>
              <w:contextualSpacing/>
              <w:jc w:val="center"/>
              <w:rPr>
                <w:rFonts w:ascii="宋体" w:hAnsi="宋体" w:cs="宋体"/>
              </w:rPr>
            </w:pPr>
          </w:p>
        </w:tc>
        <w:tc>
          <w:tcPr>
            <w:tcW w:w="1225" w:type="dxa"/>
            <w:vMerge w:val="continue"/>
          </w:tcPr>
          <w:p w14:paraId="0246B4E1">
            <w:pPr>
              <w:snapToGrid w:val="0"/>
              <w:ind w:firstLine="360"/>
              <w:contextualSpacing/>
              <w:jc w:val="center"/>
              <w:rPr>
                <w:rFonts w:ascii="宋体" w:hAnsi="宋体" w:cs="宋体"/>
              </w:rPr>
            </w:pPr>
          </w:p>
        </w:tc>
        <w:tc>
          <w:tcPr>
            <w:tcW w:w="1336" w:type="dxa"/>
            <w:vAlign w:val="center"/>
          </w:tcPr>
          <w:p w14:paraId="5BEECDEF">
            <w:pPr>
              <w:snapToGrid w:val="0"/>
              <w:contextualSpacing/>
              <w:rPr>
                <w:rFonts w:ascii="宋体" w:hAnsi="宋体" w:cs="宋体"/>
              </w:rPr>
            </w:pPr>
            <w:r>
              <w:rPr>
                <w:rFonts w:hint="eastAsia" w:ascii="宋体" w:hAnsi="宋体" w:cs="宋体"/>
              </w:rPr>
              <w:t>角膜塑形镜病历</w:t>
            </w:r>
          </w:p>
        </w:tc>
        <w:tc>
          <w:tcPr>
            <w:tcW w:w="5295" w:type="dxa"/>
            <w:vAlign w:val="center"/>
          </w:tcPr>
          <w:p w14:paraId="7A7B6B5F">
            <w:pPr>
              <w:pStyle w:val="23"/>
              <w:numPr>
                <w:ilvl w:val="0"/>
                <w:numId w:val="0"/>
              </w:numPr>
              <w:snapToGrid w:val="0"/>
              <w:ind w:leftChars="0"/>
              <w:contextualSpacing/>
              <w:rPr>
                <w:rFonts w:ascii="宋体" w:hAnsi="宋体" w:cs="宋体"/>
              </w:rPr>
            </w:pPr>
            <w:r>
              <w:rPr>
                <w:rFonts w:hint="eastAsia" w:ascii="宋体" w:hAnsi="宋体" w:cs="宋体"/>
              </w:rPr>
              <w:t>支持医生对角膜塑形镜验配患者的管理全流程，在门诊病历相关标准基础上根据角膜塑形镜的特殊验配需求，扩展对近视矫正、专科随访等相关内容，包含以下内容：</w:t>
            </w:r>
          </w:p>
          <w:p w14:paraId="47CAC828">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同意书管理，实现角膜OK镜、角膜RGP镜知情同意书填写记录和打印</w:t>
            </w:r>
          </w:p>
          <w:p w14:paraId="51E70687">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检查记录，实现患者戴镜信息记录（戴镜史、以往矫正方法、视力眼光检查、验配目的、家族史、过敏史、全身病史）和验配前相关检查记录（扩瞳验光、小瞳验光、角膜地形图、眼部检查、眼压、瞳孔直径、角膜直径、BUT、角膜内皮细胞密度、验配评估等），角膜接触镜导诊单打印</w:t>
            </w:r>
          </w:p>
          <w:p w14:paraId="4A8A921E">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评估表，实现试戴片品牌、规格、戴镜片试片验光度数、拟定片参数、动态配适评估，睡眠测试15分钟，结论相关内容记录</w:t>
            </w:r>
          </w:p>
          <w:p w14:paraId="2924BB21">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定片记录，实现定片日期、下单方式、定片人、订单发送人、镜片品牌、镜片型号、定片参数、颜色、特殊要求、备注相关内容记录</w:t>
            </w:r>
          </w:p>
          <w:p w14:paraId="0BF9386F">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验片记录，实现订单号、交付结论、收片日期、收片人、验片日期、验片人、表面划痕、边缘缺损、戴镜视、主觉验光、矫正视力、适配评估、上传货单、上传电脑验光相关内容记录</w:t>
            </w:r>
          </w:p>
          <w:p w14:paraId="57ACD710">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交付记录，实现交付日期、宣教人、核对人、向用户演示戴镜、取镜、用户自行操作戴镜、摘镜、向用户示范镜片护理、告诉用户特别注意事项相关内容记录</w:t>
            </w:r>
          </w:p>
          <w:p w14:paraId="3627BFD7">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复查记录，实现用户主诉、戴镜情况、眼部复查、镜片检查、处置相关内容记录</w:t>
            </w:r>
          </w:p>
          <w:p w14:paraId="11AE34DD">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特殊记录，实现取戴、借片、护理液、记录医生、患者签名、签名日期相关内容记录</w:t>
            </w:r>
          </w:p>
          <w:p w14:paraId="608E840B">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返厂记录，实现收片日期、取片日期、收片人、取片人、收片备注、取片备注、上传收片图片、上传取片图片相关内容记录</w:t>
            </w:r>
          </w:p>
          <w:p w14:paraId="12425171">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历史记录，实现患者历史纸质角膜塑形镜病历拍照上传到眼科电子病历系统</w:t>
            </w:r>
          </w:p>
          <w:p w14:paraId="57FD3DEB">
            <w:pPr>
              <w:pStyle w:val="23"/>
              <w:numPr>
                <w:ilvl w:val="0"/>
                <w:numId w:val="6"/>
              </w:numPr>
              <w:snapToGrid w:val="0"/>
              <w:ind w:left="-9" w:leftChars="0" w:firstLine="9" w:firstLineChars="0"/>
              <w:contextualSpacing/>
              <w:rPr>
                <w:rFonts w:ascii="宋体" w:hAnsi="宋体" w:cs="宋体"/>
              </w:rPr>
            </w:pPr>
            <w:r>
              <w:rPr>
                <w:rFonts w:hint="eastAsia" w:ascii="宋体" w:hAnsi="宋体" w:cs="宋体"/>
              </w:rPr>
              <w:t>病历管理，支持按照患者ID、姓名、就诊日期查询数据，并且实现档案、图片数据导出</w:t>
            </w:r>
          </w:p>
        </w:tc>
      </w:tr>
      <w:tr w14:paraId="371BE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456" w:type="dxa"/>
            <w:vMerge w:val="continue"/>
            <w:vAlign w:val="center"/>
          </w:tcPr>
          <w:p w14:paraId="0515672A">
            <w:pPr>
              <w:snapToGrid w:val="0"/>
              <w:ind w:firstLine="360"/>
              <w:contextualSpacing/>
              <w:jc w:val="center"/>
              <w:rPr>
                <w:rFonts w:ascii="宋体" w:hAnsi="宋体" w:cs="宋体"/>
              </w:rPr>
            </w:pPr>
          </w:p>
        </w:tc>
        <w:tc>
          <w:tcPr>
            <w:tcW w:w="1225" w:type="dxa"/>
            <w:vMerge w:val="continue"/>
          </w:tcPr>
          <w:p w14:paraId="71B91B3C">
            <w:pPr>
              <w:snapToGrid w:val="0"/>
              <w:ind w:firstLine="360"/>
              <w:contextualSpacing/>
              <w:jc w:val="center"/>
              <w:rPr>
                <w:rFonts w:ascii="宋体" w:hAnsi="宋体" w:cs="宋体"/>
              </w:rPr>
            </w:pPr>
          </w:p>
        </w:tc>
        <w:tc>
          <w:tcPr>
            <w:tcW w:w="1336" w:type="dxa"/>
          </w:tcPr>
          <w:p w14:paraId="72B560FE">
            <w:pPr>
              <w:snapToGrid w:val="0"/>
              <w:contextualSpacing/>
              <w:rPr>
                <w:rFonts w:ascii="宋体" w:hAnsi="宋体" w:cs="宋体"/>
              </w:rPr>
            </w:pPr>
            <w:r>
              <w:rPr>
                <w:rFonts w:hint="eastAsia" w:ascii="宋体" w:hAnsi="宋体" w:cs="宋体"/>
              </w:rPr>
              <w:t>院前手术预约管理</w:t>
            </w:r>
          </w:p>
        </w:tc>
        <w:tc>
          <w:tcPr>
            <w:tcW w:w="5295" w:type="dxa"/>
          </w:tcPr>
          <w:p w14:paraId="14255504">
            <w:pPr>
              <w:snapToGrid w:val="0"/>
              <w:contextualSpacing/>
              <w:rPr>
                <w:rFonts w:ascii="宋体" w:hAnsi="宋体" w:cs="宋体"/>
              </w:rPr>
            </w:pPr>
            <w:r>
              <w:rPr>
                <w:rFonts w:hint="eastAsia" w:ascii="宋体" w:hAnsi="宋体" w:cs="宋体"/>
              </w:rPr>
              <w:t>支持医生对已诊患者入院前手术拟定的全流程管理，记录拟定手术从待定、待检查、已预约、取消预约全过程，包含以下内容：</w:t>
            </w:r>
          </w:p>
          <w:p w14:paraId="6D94FA6F">
            <w:pPr>
              <w:pStyle w:val="23"/>
              <w:numPr>
                <w:ilvl w:val="0"/>
                <w:numId w:val="7"/>
              </w:numPr>
              <w:snapToGrid w:val="0"/>
              <w:ind w:firstLineChars="0"/>
              <w:contextualSpacing/>
              <w:rPr>
                <w:rFonts w:ascii="宋体" w:hAnsi="宋体" w:cs="宋体"/>
              </w:rPr>
            </w:pPr>
            <w:r>
              <w:rPr>
                <w:rFonts w:hint="eastAsia" w:ascii="宋体" w:hAnsi="宋体" w:cs="宋体"/>
              </w:rPr>
              <w:t>实现手术新增、修改、删除，输入患者ID号，读取患者基本信息，填写病情、手术信息等相关内容</w:t>
            </w:r>
          </w:p>
          <w:p w14:paraId="0233C0ED">
            <w:pPr>
              <w:pStyle w:val="23"/>
              <w:numPr>
                <w:ilvl w:val="0"/>
                <w:numId w:val="7"/>
              </w:numPr>
              <w:snapToGrid w:val="0"/>
              <w:ind w:firstLineChars="0"/>
              <w:contextualSpacing/>
              <w:rPr>
                <w:rFonts w:ascii="宋体" w:hAnsi="宋体" w:cs="宋体"/>
              </w:rPr>
            </w:pPr>
            <w:r>
              <w:rPr>
                <w:rFonts w:hint="eastAsia" w:ascii="宋体" w:hAnsi="宋体" w:cs="宋体"/>
              </w:rPr>
              <w:t>实现预约登记表打印</w:t>
            </w:r>
          </w:p>
          <w:p w14:paraId="2AC0E761">
            <w:pPr>
              <w:pStyle w:val="23"/>
              <w:numPr>
                <w:ilvl w:val="0"/>
                <w:numId w:val="7"/>
              </w:numPr>
              <w:snapToGrid w:val="0"/>
              <w:ind w:firstLineChars="0"/>
              <w:contextualSpacing/>
              <w:rPr>
                <w:rFonts w:ascii="宋体" w:hAnsi="宋体" w:cs="宋体"/>
              </w:rPr>
            </w:pPr>
            <w:r>
              <w:rPr>
                <w:rFonts w:hint="eastAsia" w:ascii="宋体" w:hAnsi="宋体" w:cs="宋体"/>
              </w:rPr>
              <w:t>实现手术麻醉单新增、修改</w:t>
            </w:r>
          </w:p>
          <w:p w14:paraId="22E951C2">
            <w:pPr>
              <w:pStyle w:val="23"/>
              <w:numPr>
                <w:ilvl w:val="0"/>
                <w:numId w:val="7"/>
              </w:numPr>
              <w:snapToGrid w:val="0"/>
              <w:ind w:firstLineChars="0"/>
              <w:contextualSpacing/>
              <w:rPr>
                <w:rFonts w:ascii="宋体" w:hAnsi="宋体" w:cs="宋体"/>
              </w:rPr>
            </w:pPr>
            <w:r>
              <w:rPr>
                <w:rFonts w:hint="eastAsia" w:ascii="宋体" w:hAnsi="宋体" w:cs="宋体"/>
              </w:rPr>
              <w:t>实现数据导出</w:t>
            </w:r>
          </w:p>
          <w:p w14:paraId="7CE4EFEC">
            <w:pPr>
              <w:pStyle w:val="23"/>
              <w:numPr>
                <w:ilvl w:val="0"/>
                <w:numId w:val="7"/>
              </w:numPr>
              <w:snapToGrid w:val="0"/>
              <w:ind w:firstLineChars="0"/>
              <w:contextualSpacing/>
              <w:rPr>
                <w:rFonts w:ascii="宋体" w:hAnsi="宋体" w:cs="宋体"/>
              </w:rPr>
            </w:pPr>
            <w:r>
              <w:rPr>
                <w:rFonts w:hint="eastAsia" w:ascii="宋体" w:hAnsi="宋体" w:cs="宋体"/>
              </w:rPr>
              <w:t>实现通过实时、定时等规则发送预约短信通知患者</w:t>
            </w:r>
          </w:p>
          <w:p w14:paraId="0ED54FB9">
            <w:pPr>
              <w:pStyle w:val="23"/>
              <w:numPr>
                <w:ilvl w:val="0"/>
                <w:numId w:val="7"/>
              </w:numPr>
              <w:snapToGrid w:val="0"/>
              <w:ind w:firstLineChars="0"/>
              <w:contextualSpacing/>
              <w:rPr>
                <w:rFonts w:ascii="宋体" w:hAnsi="宋体" w:cs="宋体"/>
              </w:rPr>
            </w:pPr>
            <w:r>
              <w:rPr>
                <w:rFonts w:hint="eastAsia" w:ascii="宋体" w:hAnsi="宋体" w:cs="宋体"/>
              </w:rPr>
              <w:t>实现主刀医生在工作站端、移动端随时查阅自己名下、所在专业组已预约手术的信息</w:t>
            </w:r>
          </w:p>
        </w:tc>
      </w:tr>
      <w:tr w14:paraId="48686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456" w:type="dxa"/>
            <w:vMerge w:val="restart"/>
            <w:vAlign w:val="center"/>
          </w:tcPr>
          <w:p w14:paraId="407526FF">
            <w:pPr>
              <w:snapToGrid w:val="0"/>
              <w:contextualSpacing/>
              <w:rPr>
                <w:rFonts w:ascii="宋体" w:hAnsi="宋体" w:cs="宋体"/>
              </w:rPr>
            </w:pPr>
            <w:r>
              <w:rPr>
                <w:rFonts w:hint="eastAsia" w:ascii="宋体" w:hAnsi="宋体" w:cs="宋体"/>
              </w:rPr>
              <w:t>4</w:t>
            </w:r>
          </w:p>
        </w:tc>
        <w:tc>
          <w:tcPr>
            <w:tcW w:w="1225" w:type="dxa"/>
            <w:vMerge w:val="restart"/>
            <w:vAlign w:val="center"/>
          </w:tcPr>
          <w:p w14:paraId="27B8F152">
            <w:pPr>
              <w:snapToGrid w:val="0"/>
              <w:contextualSpacing/>
              <w:rPr>
                <w:rFonts w:ascii="宋体" w:hAnsi="宋体" w:cs="宋体"/>
              </w:rPr>
            </w:pPr>
            <w:r>
              <w:rPr>
                <w:rFonts w:hint="eastAsia" w:ascii="宋体" w:hAnsi="宋体" w:cs="宋体"/>
              </w:rPr>
              <w:t>手术管理</w:t>
            </w:r>
          </w:p>
        </w:tc>
        <w:tc>
          <w:tcPr>
            <w:tcW w:w="1336" w:type="dxa"/>
            <w:vAlign w:val="center"/>
          </w:tcPr>
          <w:p w14:paraId="017EC1FB">
            <w:pPr>
              <w:snapToGrid w:val="0"/>
              <w:contextualSpacing/>
              <w:rPr>
                <w:rFonts w:ascii="宋体" w:hAnsi="宋体" w:cs="宋体"/>
              </w:rPr>
            </w:pPr>
            <w:r>
              <w:rPr>
                <w:rFonts w:hint="eastAsia" w:ascii="宋体" w:hAnsi="宋体" w:cs="宋体"/>
              </w:rPr>
              <w:t>手术名称字典</w:t>
            </w:r>
          </w:p>
        </w:tc>
        <w:tc>
          <w:tcPr>
            <w:tcW w:w="5295" w:type="dxa"/>
            <w:vAlign w:val="center"/>
          </w:tcPr>
          <w:p w14:paraId="07814ABF">
            <w:pPr>
              <w:snapToGrid w:val="0"/>
              <w:contextualSpacing/>
              <w:rPr>
                <w:rFonts w:ascii="宋体" w:hAnsi="宋体" w:cs="宋体"/>
              </w:rPr>
            </w:pPr>
            <w:r>
              <w:rPr>
                <w:rFonts w:hint="eastAsia" w:ascii="宋体" w:hAnsi="宋体" w:cs="宋体"/>
              </w:rPr>
              <w:t>建立符合相关规范的眼科标准手术名称字典表,设置权限可实现查询、新增、修改等功能</w:t>
            </w:r>
          </w:p>
        </w:tc>
      </w:tr>
      <w:tr w14:paraId="6A345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3DBFF37">
            <w:pPr>
              <w:snapToGrid w:val="0"/>
              <w:ind w:firstLine="360"/>
              <w:contextualSpacing/>
              <w:jc w:val="center"/>
              <w:rPr>
                <w:rFonts w:ascii="宋体" w:hAnsi="宋体" w:cs="宋体"/>
              </w:rPr>
            </w:pPr>
          </w:p>
        </w:tc>
        <w:tc>
          <w:tcPr>
            <w:tcW w:w="1225" w:type="dxa"/>
            <w:vMerge w:val="continue"/>
            <w:vAlign w:val="center"/>
          </w:tcPr>
          <w:p w14:paraId="7389E896">
            <w:pPr>
              <w:snapToGrid w:val="0"/>
              <w:ind w:firstLine="360"/>
              <w:contextualSpacing/>
              <w:jc w:val="center"/>
              <w:rPr>
                <w:rFonts w:ascii="宋体" w:hAnsi="宋体" w:cs="宋体"/>
              </w:rPr>
            </w:pPr>
          </w:p>
        </w:tc>
        <w:tc>
          <w:tcPr>
            <w:tcW w:w="1336" w:type="dxa"/>
            <w:vAlign w:val="center"/>
          </w:tcPr>
          <w:p w14:paraId="1F94A262">
            <w:pPr>
              <w:snapToGrid w:val="0"/>
              <w:contextualSpacing/>
              <w:rPr>
                <w:rFonts w:ascii="宋体" w:hAnsi="宋体" w:cs="宋体"/>
              </w:rPr>
            </w:pPr>
            <w:r>
              <w:rPr>
                <w:rFonts w:hint="eastAsia" w:ascii="宋体" w:hAnsi="宋体" w:cs="宋体"/>
              </w:rPr>
              <w:t>临床分组管理</w:t>
            </w:r>
          </w:p>
        </w:tc>
        <w:tc>
          <w:tcPr>
            <w:tcW w:w="5295" w:type="dxa"/>
            <w:vAlign w:val="center"/>
          </w:tcPr>
          <w:p w14:paraId="46A1E6CF">
            <w:pPr>
              <w:pStyle w:val="23"/>
              <w:numPr>
                <w:ilvl w:val="0"/>
                <w:numId w:val="8"/>
              </w:numPr>
              <w:snapToGrid w:val="0"/>
              <w:ind w:firstLineChars="0"/>
              <w:contextualSpacing/>
              <w:rPr>
                <w:rFonts w:ascii="宋体" w:hAnsi="宋体" w:cs="宋体"/>
              </w:rPr>
            </w:pPr>
            <w:r>
              <w:rPr>
                <w:rFonts w:hint="eastAsia" w:ascii="宋体" w:hAnsi="宋体" w:cs="宋体"/>
              </w:rPr>
              <w:t>支持对临床亚专业分组定义、分组管理，包括新增、修改、删除、查询</w:t>
            </w:r>
          </w:p>
          <w:p w14:paraId="52BEBED9">
            <w:pPr>
              <w:pStyle w:val="23"/>
              <w:numPr>
                <w:ilvl w:val="0"/>
                <w:numId w:val="8"/>
              </w:numPr>
              <w:snapToGrid w:val="0"/>
              <w:ind w:firstLineChars="0"/>
              <w:contextualSpacing/>
              <w:rPr>
                <w:rFonts w:ascii="宋体" w:hAnsi="宋体" w:cs="宋体"/>
              </w:rPr>
            </w:pPr>
            <w:r>
              <w:rPr>
                <w:rFonts w:hint="eastAsia" w:ascii="宋体" w:hAnsi="宋体" w:cs="宋体"/>
              </w:rPr>
              <w:t>支持对各亚专业分组的组内成员新增、、修改、删除，可根据科室和姓名查询员工，添加到专业分组内</w:t>
            </w:r>
          </w:p>
          <w:p w14:paraId="0F6B3568">
            <w:pPr>
              <w:pStyle w:val="23"/>
              <w:numPr>
                <w:ilvl w:val="0"/>
                <w:numId w:val="8"/>
              </w:numPr>
              <w:snapToGrid w:val="0"/>
              <w:ind w:firstLineChars="0"/>
              <w:contextualSpacing/>
              <w:rPr>
                <w:rFonts w:ascii="宋体" w:hAnsi="宋体" w:cs="宋体"/>
              </w:rPr>
            </w:pPr>
            <w:r>
              <w:rPr>
                <w:rFonts w:hint="eastAsia" w:ascii="宋体" w:hAnsi="宋体" w:cs="宋体"/>
              </w:rPr>
              <w:t>可针对每个亚专业组内成员的手术资质等级设置对应手术级别，限制越级手术</w:t>
            </w:r>
          </w:p>
        </w:tc>
      </w:tr>
      <w:tr w14:paraId="1AA96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3DA9274A">
            <w:pPr>
              <w:snapToGrid w:val="0"/>
              <w:ind w:firstLine="360"/>
              <w:contextualSpacing/>
              <w:jc w:val="center"/>
              <w:rPr>
                <w:rFonts w:ascii="宋体" w:hAnsi="宋体" w:cs="宋体"/>
              </w:rPr>
            </w:pPr>
          </w:p>
        </w:tc>
        <w:tc>
          <w:tcPr>
            <w:tcW w:w="1225" w:type="dxa"/>
            <w:vMerge w:val="continue"/>
            <w:vAlign w:val="center"/>
          </w:tcPr>
          <w:p w14:paraId="3540D1AC">
            <w:pPr>
              <w:snapToGrid w:val="0"/>
              <w:ind w:firstLine="360"/>
              <w:contextualSpacing/>
              <w:jc w:val="center"/>
              <w:rPr>
                <w:rFonts w:ascii="宋体" w:hAnsi="宋体" w:cs="宋体"/>
              </w:rPr>
            </w:pPr>
          </w:p>
        </w:tc>
        <w:tc>
          <w:tcPr>
            <w:tcW w:w="1336" w:type="dxa"/>
            <w:vAlign w:val="center"/>
          </w:tcPr>
          <w:p w14:paraId="25462E64">
            <w:pPr>
              <w:snapToGrid w:val="0"/>
              <w:contextualSpacing/>
              <w:rPr>
                <w:rFonts w:ascii="宋体" w:hAnsi="宋体" w:cs="宋体"/>
              </w:rPr>
            </w:pPr>
            <w:r>
              <w:rPr>
                <w:rFonts w:hint="eastAsia" w:ascii="宋体" w:hAnsi="宋体" w:cs="宋体"/>
              </w:rPr>
              <w:t>手术预约</w:t>
            </w:r>
          </w:p>
        </w:tc>
        <w:tc>
          <w:tcPr>
            <w:tcW w:w="5295" w:type="dxa"/>
            <w:vAlign w:val="center"/>
          </w:tcPr>
          <w:p w14:paraId="278AFEE4">
            <w:pPr>
              <w:snapToGrid w:val="0"/>
              <w:contextualSpacing/>
              <w:rPr>
                <w:rFonts w:ascii="宋体" w:hAnsi="宋体" w:cs="宋体"/>
              </w:rPr>
            </w:pPr>
            <w:r>
              <w:rPr>
                <w:rFonts w:hint="eastAsia" w:ascii="宋体" w:hAnsi="宋体" w:cs="宋体"/>
              </w:rPr>
              <w:t>手术预约信息列表显示，实现查询、新增、修改、删除、导出等功能</w:t>
            </w:r>
          </w:p>
        </w:tc>
      </w:tr>
      <w:tr w14:paraId="7593F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3A744BF3">
            <w:pPr>
              <w:snapToGrid w:val="0"/>
              <w:ind w:firstLine="360"/>
              <w:contextualSpacing/>
              <w:jc w:val="center"/>
              <w:rPr>
                <w:rFonts w:ascii="宋体" w:hAnsi="宋体" w:cs="宋体"/>
              </w:rPr>
            </w:pPr>
          </w:p>
        </w:tc>
        <w:tc>
          <w:tcPr>
            <w:tcW w:w="1225" w:type="dxa"/>
            <w:vMerge w:val="continue"/>
            <w:vAlign w:val="center"/>
          </w:tcPr>
          <w:p w14:paraId="73B73187">
            <w:pPr>
              <w:snapToGrid w:val="0"/>
              <w:ind w:firstLine="360"/>
              <w:contextualSpacing/>
              <w:jc w:val="center"/>
              <w:rPr>
                <w:rFonts w:ascii="宋体" w:hAnsi="宋体" w:cs="宋体"/>
              </w:rPr>
            </w:pPr>
          </w:p>
        </w:tc>
        <w:tc>
          <w:tcPr>
            <w:tcW w:w="1336" w:type="dxa"/>
            <w:vAlign w:val="center"/>
          </w:tcPr>
          <w:p w14:paraId="34588ECD">
            <w:pPr>
              <w:snapToGrid w:val="0"/>
              <w:contextualSpacing/>
              <w:rPr>
                <w:rFonts w:ascii="宋体" w:hAnsi="宋体" w:cs="宋体"/>
              </w:rPr>
            </w:pPr>
            <w:r>
              <w:rPr>
                <w:rFonts w:hint="eastAsia" w:ascii="宋体" w:hAnsi="宋体" w:cs="宋体"/>
              </w:rPr>
              <w:t>手术申请</w:t>
            </w:r>
          </w:p>
        </w:tc>
        <w:tc>
          <w:tcPr>
            <w:tcW w:w="5295" w:type="dxa"/>
            <w:vAlign w:val="center"/>
          </w:tcPr>
          <w:p w14:paraId="2DD6D385">
            <w:pPr>
              <w:snapToGrid w:val="0"/>
              <w:contextualSpacing/>
              <w:rPr>
                <w:rFonts w:ascii="宋体" w:hAnsi="宋体" w:cs="宋体"/>
              </w:rPr>
            </w:pPr>
            <w:r>
              <w:rPr>
                <w:rFonts w:hint="eastAsia" w:ascii="宋体" w:hAnsi="宋体" w:cs="宋体"/>
              </w:rPr>
              <w:t>列表显示已预约/已申请的手术信息，实现通过ID号查询或在院患者列表选择来新增患者手术申请、修改、删除等功能，数据可导出EXCEL</w:t>
            </w:r>
          </w:p>
        </w:tc>
      </w:tr>
      <w:tr w14:paraId="39D8C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582522E">
            <w:pPr>
              <w:snapToGrid w:val="0"/>
              <w:ind w:firstLine="360"/>
              <w:contextualSpacing/>
              <w:jc w:val="center"/>
              <w:rPr>
                <w:rFonts w:ascii="宋体" w:hAnsi="宋体" w:cs="宋体"/>
              </w:rPr>
            </w:pPr>
          </w:p>
        </w:tc>
        <w:tc>
          <w:tcPr>
            <w:tcW w:w="1225" w:type="dxa"/>
            <w:vMerge w:val="continue"/>
            <w:vAlign w:val="center"/>
          </w:tcPr>
          <w:p w14:paraId="5C93704D">
            <w:pPr>
              <w:snapToGrid w:val="0"/>
              <w:ind w:firstLine="360"/>
              <w:contextualSpacing/>
              <w:jc w:val="center"/>
              <w:rPr>
                <w:rFonts w:ascii="宋体" w:hAnsi="宋体" w:cs="宋体"/>
              </w:rPr>
            </w:pPr>
          </w:p>
        </w:tc>
        <w:tc>
          <w:tcPr>
            <w:tcW w:w="1336" w:type="dxa"/>
            <w:vAlign w:val="center"/>
          </w:tcPr>
          <w:p w14:paraId="2A6D0634">
            <w:pPr>
              <w:snapToGrid w:val="0"/>
              <w:contextualSpacing/>
              <w:rPr>
                <w:rFonts w:ascii="宋体" w:hAnsi="宋体" w:cs="宋体"/>
              </w:rPr>
            </w:pPr>
            <w:r>
              <w:rPr>
                <w:rFonts w:hint="eastAsia" w:ascii="宋体" w:hAnsi="宋体" w:cs="宋体"/>
              </w:rPr>
              <w:t>手术安排</w:t>
            </w:r>
          </w:p>
        </w:tc>
        <w:tc>
          <w:tcPr>
            <w:tcW w:w="5295" w:type="dxa"/>
            <w:vAlign w:val="center"/>
          </w:tcPr>
          <w:p w14:paraId="058EAF71">
            <w:pPr>
              <w:snapToGrid w:val="0"/>
              <w:contextualSpacing/>
              <w:rPr>
                <w:rFonts w:ascii="宋体" w:hAnsi="宋体" w:cs="宋体"/>
              </w:rPr>
            </w:pPr>
            <w:r>
              <w:rPr>
                <w:rFonts w:hint="eastAsia" w:ascii="宋体" w:hAnsi="宋体" w:cs="宋体"/>
              </w:rPr>
              <w:t>列表显示已申请/已安排的手术信息，实现查询、新增、修改、删除等功能，数据可导出EXCEL</w:t>
            </w:r>
          </w:p>
        </w:tc>
      </w:tr>
      <w:tr w14:paraId="293FC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037023BE">
            <w:pPr>
              <w:snapToGrid w:val="0"/>
              <w:ind w:firstLine="360"/>
              <w:contextualSpacing/>
              <w:jc w:val="center"/>
              <w:rPr>
                <w:rFonts w:ascii="宋体" w:hAnsi="宋体" w:cs="宋体"/>
              </w:rPr>
            </w:pPr>
          </w:p>
        </w:tc>
        <w:tc>
          <w:tcPr>
            <w:tcW w:w="1225" w:type="dxa"/>
            <w:vMerge w:val="continue"/>
            <w:vAlign w:val="center"/>
          </w:tcPr>
          <w:p w14:paraId="657BA587">
            <w:pPr>
              <w:snapToGrid w:val="0"/>
              <w:ind w:firstLine="360"/>
              <w:contextualSpacing/>
              <w:jc w:val="center"/>
              <w:rPr>
                <w:rFonts w:ascii="宋体" w:hAnsi="宋体" w:cs="宋体"/>
              </w:rPr>
            </w:pPr>
          </w:p>
        </w:tc>
        <w:tc>
          <w:tcPr>
            <w:tcW w:w="1336" w:type="dxa"/>
            <w:vAlign w:val="center"/>
          </w:tcPr>
          <w:p w14:paraId="182C420E">
            <w:pPr>
              <w:snapToGrid w:val="0"/>
              <w:contextualSpacing/>
              <w:rPr>
                <w:rFonts w:ascii="宋体" w:hAnsi="宋体" w:cs="宋体"/>
              </w:rPr>
            </w:pPr>
            <w:r>
              <w:rPr>
                <w:rFonts w:hint="eastAsia" w:ascii="宋体" w:hAnsi="宋体" w:cs="宋体"/>
              </w:rPr>
              <w:t>手术记录</w:t>
            </w:r>
          </w:p>
        </w:tc>
        <w:tc>
          <w:tcPr>
            <w:tcW w:w="5295" w:type="dxa"/>
            <w:vAlign w:val="center"/>
          </w:tcPr>
          <w:p w14:paraId="2F01EF0C">
            <w:pPr>
              <w:snapToGrid w:val="0"/>
              <w:contextualSpacing/>
              <w:rPr>
                <w:rFonts w:ascii="宋体" w:hAnsi="宋体" w:cs="宋体"/>
              </w:rPr>
            </w:pPr>
            <w:r>
              <w:rPr>
                <w:rFonts w:hint="eastAsia" w:ascii="宋体" w:hAnsi="宋体" w:cs="宋体"/>
              </w:rPr>
              <w:t>列表显示已安排/已完成的手术信息，实现查询、新增、修改、删除、改变手术信息状态等功能，可关联使用高值耗材，可打印手术安全核查表、风险评估表，手术记录可导出EXCEL</w:t>
            </w:r>
          </w:p>
        </w:tc>
      </w:tr>
      <w:tr w14:paraId="1DB78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696BD375">
            <w:pPr>
              <w:snapToGrid w:val="0"/>
              <w:ind w:firstLine="360"/>
              <w:contextualSpacing/>
              <w:jc w:val="center"/>
              <w:rPr>
                <w:rFonts w:ascii="宋体" w:hAnsi="宋体" w:cs="宋体"/>
              </w:rPr>
            </w:pPr>
          </w:p>
        </w:tc>
        <w:tc>
          <w:tcPr>
            <w:tcW w:w="1225" w:type="dxa"/>
            <w:vMerge w:val="continue"/>
            <w:vAlign w:val="center"/>
          </w:tcPr>
          <w:p w14:paraId="4285E9CD">
            <w:pPr>
              <w:snapToGrid w:val="0"/>
              <w:ind w:firstLine="360"/>
              <w:contextualSpacing/>
              <w:jc w:val="center"/>
              <w:rPr>
                <w:rFonts w:ascii="宋体" w:hAnsi="宋体" w:cs="宋体"/>
              </w:rPr>
            </w:pPr>
          </w:p>
        </w:tc>
        <w:tc>
          <w:tcPr>
            <w:tcW w:w="1336" w:type="dxa"/>
            <w:vAlign w:val="center"/>
          </w:tcPr>
          <w:p w14:paraId="2ED3C6EC">
            <w:pPr>
              <w:snapToGrid w:val="0"/>
              <w:contextualSpacing/>
              <w:rPr>
                <w:rFonts w:ascii="宋体" w:hAnsi="宋体" w:cs="宋体"/>
              </w:rPr>
            </w:pPr>
            <w:r>
              <w:rPr>
                <w:rFonts w:hint="eastAsia" w:ascii="宋体" w:hAnsi="宋体" w:cs="宋体"/>
              </w:rPr>
              <w:t>手术统计</w:t>
            </w:r>
          </w:p>
        </w:tc>
        <w:tc>
          <w:tcPr>
            <w:tcW w:w="5295" w:type="dxa"/>
            <w:vAlign w:val="center"/>
          </w:tcPr>
          <w:p w14:paraId="475ED301">
            <w:pPr>
              <w:snapToGrid w:val="0"/>
              <w:contextualSpacing/>
              <w:rPr>
                <w:rFonts w:ascii="宋体" w:hAnsi="宋体" w:cs="宋体"/>
              </w:rPr>
            </w:pPr>
            <w:r>
              <w:rPr>
                <w:rFonts w:hint="eastAsia" w:ascii="宋体" w:hAnsi="宋体" w:cs="宋体"/>
              </w:rPr>
              <w:t>列表显示已安排/已完成的手术信息，实现手术信息的简单查询、多条件高级查询统计，查询数据可导出EXCEL等数据文档；查询列表字段可动态设置；可按月份一键导出手术工作量</w:t>
            </w:r>
          </w:p>
        </w:tc>
      </w:tr>
      <w:tr w14:paraId="2EDE8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1885C7FF">
            <w:pPr>
              <w:snapToGrid w:val="0"/>
              <w:ind w:firstLine="360"/>
              <w:contextualSpacing/>
              <w:jc w:val="center"/>
              <w:rPr>
                <w:rFonts w:ascii="宋体" w:hAnsi="宋体" w:cs="宋体"/>
              </w:rPr>
            </w:pPr>
          </w:p>
        </w:tc>
        <w:tc>
          <w:tcPr>
            <w:tcW w:w="1225" w:type="dxa"/>
            <w:vMerge w:val="continue"/>
            <w:vAlign w:val="center"/>
          </w:tcPr>
          <w:p w14:paraId="32B7E706">
            <w:pPr>
              <w:snapToGrid w:val="0"/>
              <w:ind w:firstLine="360"/>
              <w:contextualSpacing/>
              <w:jc w:val="center"/>
              <w:rPr>
                <w:rFonts w:ascii="宋体" w:hAnsi="宋体" w:cs="宋体"/>
              </w:rPr>
            </w:pPr>
          </w:p>
        </w:tc>
        <w:tc>
          <w:tcPr>
            <w:tcW w:w="1336" w:type="dxa"/>
            <w:vAlign w:val="center"/>
          </w:tcPr>
          <w:p w14:paraId="33BA1FEB">
            <w:pPr>
              <w:snapToGrid w:val="0"/>
              <w:contextualSpacing/>
              <w:rPr>
                <w:rFonts w:ascii="宋体" w:hAnsi="宋体" w:cs="宋体"/>
              </w:rPr>
            </w:pPr>
            <w:r>
              <w:rPr>
                <w:rFonts w:hint="eastAsia" w:ascii="宋体" w:hAnsi="宋体" w:cs="宋体"/>
              </w:rPr>
              <w:t>大屏显示</w:t>
            </w:r>
          </w:p>
        </w:tc>
        <w:tc>
          <w:tcPr>
            <w:tcW w:w="5295" w:type="dxa"/>
            <w:vAlign w:val="center"/>
          </w:tcPr>
          <w:p w14:paraId="4B86371E">
            <w:pPr>
              <w:snapToGrid w:val="0"/>
              <w:contextualSpacing/>
              <w:rPr>
                <w:rFonts w:ascii="宋体" w:hAnsi="宋体" w:cs="宋体"/>
              </w:rPr>
            </w:pPr>
            <w:r>
              <w:rPr>
                <w:rFonts w:hint="eastAsia" w:ascii="宋体" w:hAnsi="宋体" w:cs="宋体"/>
              </w:rPr>
              <w:t>实现单独页面适配显示当日手术进度情况，根据手术实时状态在指定区域显示准备手术、手术中、已手术的列表展示（显示患者姓名、患者id、手术方式、手术情况）</w:t>
            </w:r>
          </w:p>
        </w:tc>
      </w:tr>
      <w:tr w14:paraId="3CE7B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456" w:type="dxa"/>
            <w:vMerge w:val="restart"/>
            <w:vAlign w:val="center"/>
          </w:tcPr>
          <w:p w14:paraId="24C9BE84">
            <w:pPr>
              <w:snapToGrid w:val="0"/>
              <w:contextualSpacing/>
              <w:rPr>
                <w:rFonts w:ascii="宋体" w:hAnsi="宋体" w:cs="宋体"/>
              </w:rPr>
            </w:pPr>
            <w:r>
              <w:rPr>
                <w:rFonts w:hint="eastAsia" w:ascii="宋体" w:hAnsi="宋体" w:cs="宋体"/>
              </w:rPr>
              <w:t>5</w:t>
            </w:r>
          </w:p>
        </w:tc>
        <w:tc>
          <w:tcPr>
            <w:tcW w:w="1225" w:type="dxa"/>
            <w:vMerge w:val="restart"/>
            <w:vAlign w:val="center"/>
          </w:tcPr>
          <w:p w14:paraId="71F05E8F">
            <w:pPr>
              <w:snapToGrid w:val="0"/>
              <w:contextualSpacing/>
              <w:rPr>
                <w:rFonts w:ascii="宋体" w:hAnsi="宋体" w:cs="宋体"/>
              </w:rPr>
            </w:pPr>
            <w:r>
              <w:rPr>
                <w:rFonts w:hint="eastAsia" w:ascii="宋体" w:hAnsi="宋体" w:cs="宋体"/>
              </w:rPr>
              <w:t>高值耗材管理</w:t>
            </w:r>
          </w:p>
        </w:tc>
        <w:tc>
          <w:tcPr>
            <w:tcW w:w="1336" w:type="dxa"/>
            <w:vAlign w:val="center"/>
          </w:tcPr>
          <w:p w14:paraId="0744BB11">
            <w:pPr>
              <w:snapToGrid w:val="0"/>
              <w:contextualSpacing/>
              <w:rPr>
                <w:rFonts w:ascii="宋体" w:hAnsi="宋体" w:cs="宋体"/>
              </w:rPr>
            </w:pPr>
            <w:r>
              <w:rPr>
                <w:rFonts w:hint="eastAsia" w:ascii="宋体" w:hAnsi="宋体" w:cs="宋体"/>
              </w:rPr>
              <w:t>厂家管理</w:t>
            </w:r>
          </w:p>
        </w:tc>
        <w:tc>
          <w:tcPr>
            <w:tcW w:w="5295" w:type="dxa"/>
            <w:vAlign w:val="center"/>
          </w:tcPr>
          <w:p w14:paraId="723D995B">
            <w:pPr>
              <w:snapToGrid w:val="0"/>
              <w:contextualSpacing/>
              <w:rPr>
                <w:rFonts w:ascii="宋体" w:hAnsi="宋体" w:cs="宋体"/>
              </w:rPr>
            </w:pPr>
            <w:r>
              <w:rPr>
                <w:rFonts w:hint="eastAsia" w:ascii="宋体" w:hAnsi="宋体" w:cs="宋体"/>
              </w:rPr>
              <w:t>耗材厂家、供应商的详细信息维护，包含新增、修改、查询、删除等</w:t>
            </w:r>
          </w:p>
        </w:tc>
      </w:tr>
      <w:tr w14:paraId="040EB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56" w:type="dxa"/>
            <w:vMerge w:val="continue"/>
            <w:vAlign w:val="center"/>
          </w:tcPr>
          <w:p w14:paraId="3447F51F">
            <w:pPr>
              <w:snapToGrid w:val="0"/>
              <w:ind w:firstLine="360"/>
              <w:contextualSpacing/>
              <w:jc w:val="center"/>
              <w:rPr>
                <w:rFonts w:ascii="宋体" w:hAnsi="宋体" w:cs="宋体"/>
              </w:rPr>
            </w:pPr>
          </w:p>
        </w:tc>
        <w:tc>
          <w:tcPr>
            <w:tcW w:w="1225" w:type="dxa"/>
            <w:vMerge w:val="continue"/>
            <w:vAlign w:val="center"/>
          </w:tcPr>
          <w:p w14:paraId="47CC8833">
            <w:pPr>
              <w:snapToGrid w:val="0"/>
              <w:ind w:firstLine="360"/>
              <w:contextualSpacing/>
              <w:jc w:val="center"/>
              <w:rPr>
                <w:rFonts w:ascii="宋体" w:hAnsi="宋体" w:cs="宋体"/>
              </w:rPr>
            </w:pPr>
          </w:p>
        </w:tc>
        <w:tc>
          <w:tcPr>
            <w:tcW w:w="1336" w:type="dxa"/>
            <w:vAlign w:val="center"/>
          </w:tcPr>
          <w:p w14:paraId="084E5090">
            <w:pPr>
              <w:snapToGrid w:val="0"/>
              <w:contextualSpacing/>
              <w:rPr>
                <w:rFonts w:ascii="宋体" w:hAnsi="宋体" w:cs="宋体"/>
              </w:rPr>
            </w:pPr>
            <w:r>
              <w:rPr>
                <w:rFonts w:hint="eastAsia" w:ascii="宋体" w:hAnsi="宋体" w:cs="宋体"/>
              </w:rPr>
              <w:t>耗材型号</w:t>
            </w:r>
          </w:p>
        </w:tc>
        <w:tc>
          <w:tcPr>
            <w:tcW w:w="5295" w:type="dxa"/>
            <w:vAlign w:val="center"/>
          </w:tcPr>
          <w:p w14:paraId="46F4EAC4">
            <w:pPr>
              <w:snapToGrid w:val="0"/>
              <w:contextualSpacing/>
              <w:rPr>
                <w:rFonts w:ascii="宋体" w:hAnsi="宋体" w:cs="宋体"/>
              </w:rPr>
            </w:pPr>
            <w:r>
              <w:rPr>
                <w:rFonts w:hint="eastAsia" w:ascii="宋体" w:hAnsi="宋体" w:cs="宋体"/>
              </w:rPr>
              <w:t>耗材的型号及耗材属性信息维护，包含新增、修改、查询、删除等，耗材信息中需关联厂家/供应商信息</w:t>
            </w:r>
          </w:p>
        </w:tc>
      </w:tr>
      <w:tr w14:paraId="4C386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56" w:type="dxa"/>
            <w:vMerge w:val="continue"/>
            <w:vAlign w:val="center"/>
          </w:tcPr>
          <w:p w14:paraId="699FB809">
            <w:pPr>
              <w:snapToGrid w:val="0"/>
              <w:ind w:firstLine="360"/>
              <w:contextualSpacing/>
              <w:jc w:val="center"/>
              <w:rPr>
                <w:rFonts w:ascii="宋体" w:hAnsi="宋体" w:cs="宋体"/>
              </w:rPr>
            </w:pPr>
          </w:p>
        </w:tc>
        <w:tc>
          <w:tcPr>
            <w:tcW w:w="1225" w:type="dxa"/>
            <w:vMerge w:val="continue"/>
            <w:vAlign w:val="center"/>
          </w:tcPr>
          <w:p w14:paraId="04F93A23">
            <w:pPr>
              <w:snapToGrid w:val="0"/>
              <w:ind w:firstLine="360"/>
              <w:contextualSpacing/>
              <w:jc w:val="center"/>
              <w:rPr>
                <w:rFonts w:ascii="宋体" w:hAnsi="宋体" w:cs="宋体"/>
              </w:rPr>
            </w:pPr>
          </w:p>
        </w:tc>
        <w:tc>
          <w:tcPr>
            <w:tcW w:w="1336" w:type="dxa"/>
            <w:vAlign w:val="center"/>
          </w:tcPr>
          <w:p w14:paraId="5CD0C0BF">
            <w:pPr>
              <w:snapToGrid w:val="0"/>
              <w:contextualSpacing/>
              <w:rPr>
                <w:rFonts w:ascii="宋体" w:hAnsi="宋体" w:cs="宋体"/>
              </w:rPr>
            </w:pPr>
            <w:r>
              <w:rPr>
                <w:rFonts w:hint="eastAsia" w:ascii="宋体" w:hAnsi="宋体" w:cs="宋体"/>
              </w:rPr>
              <w:t>出入库明细</w:t>
            </w:r>
          </w:p>
        </w:tc>
        <w:tc>
          <w:tcPr>
            <w:tcW w:w="5295" w:type="dxa"/>
            <w:vAlign w:val="center"/>
          </w:tcPr>
          <w:p w14:paraId="46849BE2">
            <w:pPr>
              <w:pStyle w:val="23"/>
              <w:numPr>
                <w:ilvl w:val="0"/>
                <w:numId w:val="9"/>
              </w:numPr>
              <w:snapToGrid w:val="0"/>
              <w:ind w:firstLineChars="0"/>
              <w:contextualSpacing/>
              <w:rPr>
                <w:rFonts w:ascii="宋体" w:hAnsi="宋体" w:cs="宋体"/>
              </w:rPr>
            </w:pPr>
            <w:r>
              <w:rPr>
                <w:rFonts w:hint="eastAsia" w:ascii="宋体" w:hAnsi="宋体" w:cs="宋体"/>
              </w:rPr>
              <w:t>耗材的出入库明细记录列表，提供使用患者姓名、使用医生、耗材ID、发票号等多维度查询</w:t>
            </w:r>
          </w:p>
          <w:p w14:paraId="36238AC8">
            <w:pPr>
              <w:pStyle w:val="23"/>
              <w:numPr>
                <w:ilvl w:val="0"/>
                <w:numId w:val="9"/>
              </w:numPr>
              <w:snapToGrid w:val="0"/>
              <w:ind w:firstLineChars="0"/>
              <w:contextualSpacing/>
              <w:rPr>
                <w:rFonts w:ascii="宋体" w:hAnsi="宋体" w:cs="宋体"/>
              </w:rPr>
            </w:pPr>
            <w:r>
              <w:rPr>
                <w:rFonts w:hint="eastAsia" w:ascii="宋体" w:hAnsi="宋体" w:cs="宋体"/>
              </w:rPr>
              <w:t>提供明细报表功能，展示选定时间内的各种耗材的详细使用情况，支持报表打印、可导出为EXCEL等数据文档</w:t>
            </w:r>
          </w:p>
          <w:p w14:paraId="2CA338A9">
            <w:pPr>
              <w:pStyle w:val="23"/>
              <w:numPr>
                <w:ilvl w:val="0"/>
                <w:numId w:val="9"/>
              </w:numPr>
              <w:snapToGrid w:val="0"/>
              <w:ind w:firstLineChars="0"/>
              <w:contextualSpacing/>
              <w:rPr>
                <w:rFonts w:ascii="宋体" w:hAnsi="宋体" w:cs="宋体"/>
              </w:rPr>
            </w:pPr>
            <w:r>
              <w:rPr>
                <w:rFonts w:hint="eastAsia" w:ascii="宋体" w:hAnsi="宋体" w:cs="宋体"/>
              </w:rPr>
              <w:t>支持耗材停用和启用管理，根据两种状态控制耗材的使用</w:t>
            </w:r>
          </w:p>
          <w:p w14:paraId="4146759C">
            <w:pPr>
              <w:pStyle w:val="23"/>
              <w:numPr>
                <w:ilvl w:val="0"/>
                <w:numId w:val="9"/>
              </w:numPr>
              <w:snapToGrid w:val="0"/>
              <w:ind w:firstLineChars="0"/>
              <w:contextualSpacing/>
              <w:rPr>
                <w:rFonts w:ascii="宋体" w:hAnsi="宋体" w:cs="宋体"/>
              </w:rPr>
            </w:pPr>
            <w:r>
              <w:rPr>
                <w:rFonts w:hint="eastAsia" w:ascii="宋体" w:hAnsi="宋体" w:cs="宋体"/>
              </w:rPr>
              <w:t>耗材的效期提醒管理，支持动态配置提醒人，支持耗材先进后出规则</w:t>
            </w:r>
          </w:p>
          <w:p w14:paraId="09CE9D63">
            <w:pPr>
              <w:pStyle w:val="23"/>
              <w:numPr>
                <w:ilvl w:val="0"/>
                <w:numId w:val="9"/>
              </w:numPr>
              <w:snapToGrid w:val="0"/>
              <w:ind w:firstLineChars="0"/>
              <w:contextualSpacing/>
              <w:rPr>
                <w:rFonts w:ascii="宋体" w:hAnsi="宋体" w:cs="宋体"/>
              </w:rPr>
            </w:pPr>
            <w:r>
              <w:rPr>
                <w:rFonts w:hint="eastAsia" w:ascii="宋体" w:hAnsi="宋体" w:cs="宋体"/>
              </w:rPr>
              <w:t>支持耗材套餐管理，医生可以管理常用的耗材套餐包括套餐名称，耗材明细，备注信息</w:t>
            </w:r>
          </w:p>
        </w:tc>
      </w:tr>
      <w:tr w14:paraId="1537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56" w:type="dxa"/>
            <w:vMerge w:val="continue"/>
            <w:vAlign w:val="center"/>
          </w:tcPr>
          <w:p w14:paraId="5E96BE7E">
            <w:pPr>
              <w:snapToGrid w:val="0"/>
              <w:ind w:firstLine="360"/>
              <w:contextualSpacing/>
              <w:jc w:val="center"/>
              <w:rPr>
                <w:rFonts w:ascii="宋体" w:hAnsi="宋体" w:cs="宋体"/>
              </w:rPr>
            </w:pPr>
          </w:p>
        </w:tc>
        <w:tc>
          <w:tcPr>
            <w:tcW w:w="1225" w:type="dxa"/>
            <w:vMerge w:val="continue"/>
            <w:vAlign w:val="center"/>
          </w:tcPr>
          <w:p w14:paraId="01B388DA">
            <w:pPr>
              <w:snapToGrid w:val="0"/>
              <w:ind w:firstLine="360"/>
              <w:contextualSpacing/>
              <w:jc w:val="center"/>
              <w:rPr>
                <w:rFonts w:ascii="宋体" w:hAnsi="宋体" w:cs="宋体"/>
              </w:rPr>
            </w:pPr>
          </w:p>
        </w:tc>
        <w:tc>
          <w:tcPr>
            <w:tcW w:w="1336" w:type="dxa"/>
            <w:vAlign w:val="center"/>
          </w:tcPr>
          <w:p w14:paraId="6E584819">
            <w:pPr>
              <w:snapToGrid w:val="0"/>
              <w:contextualSpacing/>
              <w:rPr>
                <w:rFonts w:ascii="宋体" w:hAnsi="宋体" w:cs="宋体"/>
              </w:rPr>
            </w:pPr>
            <w:r>
              <w:rPr>
                <w:rFonts w:hint="eastAsia" w:ascii="宋体" w:hAnsi="宋体" w:cs="宋体"/>
              </w:rPr>
              <w:t>库存管理</w:t>
            </w:r>
          </w:p>
        </w:tc>
        <w:tc>
          <w:tcPr>
            <w:tcW w:w="5295" w:type="dxa"/>
            <w:vAlign w:val="center"/>
          </w:tcPr>
          <w:p w14:paraId="6608CB60">
            <w:pPr>
              <w:pStyle w:val="23"/>
              <w:numPr>
                <w:ilvl w:val="0"/>
                <w:numId w:val="10"/>
              </w:numPr>
              <w:snapToGrid w:val="0"/>
              <w:ind w:firstLineChars="0"/>
              <w:contextualSpacing/>
              <w:rPr>
                <w:rFonts w:ascii="宋体" w:hAnsi="宋体" w:cs="宋体"/>
              </w:rPr>
            </w:pPr>
            <w:r>
              <w:rPr>
                <w:rFonts w:hint="eastAsia" w:ascii="宋体" w:hAnsi="宋体" w:cs="宋体"/>
              </w:rPr>
              <w:t>管理耗材的库存信息，包含增加库存数量，耗材还出</w:t>
            </w:r>
          </w:p>
          <w:p w14:paraId="09174591">
            <w:pPr>
              <w:pStyle w:val="23"/>
              <w:numPr>
                <w:ilvl w:val="0"/>
                <w:numId w:val="10"/>
              </w:numPr>
              <w:snapToGrid w:val="0"/>
              <w:ind w:firstLineChars="0"/>
              <w:contextualSpacing/>
              <w:rPr>
                <w:rFonts w:ascii="宋体" w:hAnsi="宋体" w:cs="宋体"/>
              </w:rPr>
            </w:pPr>
            <w:r>
              <w:rPr>
                <w:rFonts w:hint="eastAsia" w:ascii="宋体" w:hAnsi="宋体" w:cs="宋体"/>
              </w:rPr>
              <w:t>支持查看选定的耗材使用明细，可自定义查询时间范围</w:t>
            </w:r>
          </w:p>
          <w:p w14:paraId="599ADE5D">
            <w:pPr>
              <w:pStyle w:val="23"/>
              <w:numPr>
                <w:ilvl w:val="0"/>
                <w:numId w:val="10"/>
              </w:numPr>
              <w:snapToGrid w:val="0"/>
              <w:ind w:firstLineChars="0"/>
              <w:contextualSpacing/>
              <w:rPr>
                <w:rFonts w:ascii="宋体" w:hAnsi="宋体" w:cs="宋体"/>
              </w:rPr>
            </w:pPr>
            <w:r>
              <w:rPr>
                <w:rFonts w:hint="eastAsia" w:ascii="宋体" w:hAnsi="宋体" w:cs="宋体"/>
              </w:rPr>
              <w:t>支持查看选定的耗材，在某段时间内某医生的使用明细</w:t>
            </w:r>
          </w:p>
          <w:p w14:paraId="2A76E7F3">
            <w:pPr>
              <w:pStyle w:val="23"/>
              <w:numPr>
                <w:ilvl w:val="0"/>
                <w:numId w:val="10"/>
              </w:numPr>
              <w:snapToGrid w:val="0"/>
              <w:ind w:firstLineChars="0"/>
              <w:contextualSpacing/>
              <w:rPr>
                <w:rFonts w:ascii="宋体" w:hAnsi="宋体" w:cs="宋体"/>
              </w:rPr>
            </w:pPr>
            <w:r>
              <w:rPr>
                <w:rFonts w:hint="eastAsia" w:ascii="宋体" w:hAnsi="宋体" w:cs="宋体"/>
              </w:rPr>
              <w:t>所有的报表支持打印、导出</w:t>
            </w:r>
          </w:p>
        </w:tc>
      </w:tr>
      <w:tr w14:paraId="56CD4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456" w:type="dxa"/>
            <w:vMerge w:val="continue"/>
            <w:vAlign w:val="center"/>
          </w:tcPr>
          <w:p w14:paraId="39F9C1BF">
            <w:pPr>
              <w:snapToGrid w:val="0"/>
              <w:ind w:firstLine="360"/>
              <w:contextualSpacing/>
              <w:jc w:val="center"/>
              <w:rPr>
                <w:rFonts w:ascii="宋体" w:hAnsi="宋体" w:cs="宋体"/>
              </w:rPr>
            </w:pPr>
          </w:p>
        </w:tc>
        <w:tc>
          <w:tcPr>
            <w:tcW w:w="1225" w:type="dxa"/>
            <w:vMerge w:val="continue"/>
            <w:vAlign w:val="center"/>
          </w:tcPr>
          <w:p w14:paraId="0930AECF">
            <w:pPr>
              <w:snapToGrid w:val="0"/>
              <w:ind w:firstLine="360"/>
              <w:contextualSpacing/>
              <w:jc w:val="center"/>
              <w:rPr>
                <w:rFonts w:ascii="宋体" w:hAnsi="宋体" w:cs="宋体"/>
              </w:rPr>
            </w:pPr>
          </w:p>
        </w:tc>
        <w:tc>
          <w:tcPr>
            <w:tcW w:w="1336" w:type="dxa"/>
            <w:vAlign w:val="center"/>
          </w:tcPr>
          <w:p w14:paraId="6A254898">
            <w:pPr>
              <w:snapToGrid w:val="0"/>
              <w:contextualSpacing/>
              <w:rPr>
                <w:rFonts w:ascii="宋体" w:hAnsi="宋体" w:cs="宋体"/>
              </w:rPr>
            </w:pPr>
            <w:r>
              <w:rPr>
                <w:rFonts w:hint="eastAsia" w:ascii="宋体" w:hAnsi="宋体" w:cs="宋体"/>
              </w:rPr>
              <w:t>集成手术管理</w:t>
            </w:r>
          </w:p>
        </w:tc>
        <w:tc>
          <w:tcPr>
            <w:tcW w:w="5295" w:type="dxa"/>
            <w:vAlign w:val="center"/>
          </w:tcPr>
          <w:p w14:paraId="32408060">
            <w:pPr>
              <w:pStyle w:val="23"/>
              <w:numPr>
                <w:ilvl w:val="0"/>
                <w:numId w:val="11"/>
              </w:numPr>
              <w:snapToGrid w:val="0"/>
              <w:ind w:firstLineChars="0"/>
              <w:contextualSpacing/>
              <w:rPr>
                <w:rFonts w:ascii="宋体" w:hAnsi="宋体" w:cs="宋体"/>
              </w:rPr>
            </w:pPr>
            <w:r>
              <w:rPr>
                <w:rFonts w:hint="eastAsia" w:ascii="宋体" w:hAnsi="宋体" w:cs="宋体"/>
              </w:rPr>
              <w:t>在手术管理模块中，集成耗材管理功能，在手术记录中可以选择使用的耗材型号、数量等信息</w:t>
            </w:r>
          </w:p>
          <w:p w14:paraId="1F26CF53">
            <w:pPr>
              <w:pStyle w:val="23"/>
              <w:numPr>
                <w:ilvl w:val="0"/>
                <w:numId w:val="11"/>
              </w:numPr>
              <w:snapToGrid w:val="0"/>
              <w:ind w:firstLineChars="0"/>
              <w:contextualSpacing/>
              <w:rPr>
                <w:rFonts w:ascii="宋体" w:hAnsi="宋体" w:cs="宋体"/>
              </w:rPr>
            </w:pPr>
            <w:r>
              <w:rPr>
                <w:rFonts w:hint="eastAsia" w:ascii="宋体" w:hAnsi="宋体" w:cs="宋体"/>
              </w:rPr>
              <w:t>支持打印耗材使用明细</w:t>
            </w:r>
          </w:p>
          <w:p w14:paraId="5175C4A8">
            <w:pPr>
              <w:pStyle w:val="23"/>
              <w:numPr>
                <w:ilvl w:val="0"/>
                <w:numId w:val="11"/>
              </w:numPr>
              <w:snapToGrid w:val="0"/>
              <w:ind w:firstLineChars="0"/>
              <w:contextualSpacing/>
              <w:rPr>
                <w:rFonts w:ascii="宋体" w:hAnsi="宋体" w:cs="宋体"/>
              </w:rPr>
            </w:pPr>
            <w:r>
              <w:rPr>
                <w:rFonts w:hint="eastAsia" w:ascii="宋体" w:hAnsi="宋体" w:cs="宋体"/>
              </w:rPr>
              <w:t>对于剩余完好的耗材，支持还回库存</w:t>
            </w:r>
          </w:p>
        </w:tc>
      </w:tr>
      <w:tr w14:paraId="0ED92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Align w:val="center"/>
          </w:tcPr>
          <w:p w14:paraId="226741A0">
            <w:pPr>
              <w:snapToGrid w:val="0"/>
              <w:contextualSpacing/>
              <w:rPr>
                <w:rFonts w:ascii="宋体" w:hAnsi="宋体" w:cs="宋体"/>
              </w:rPr>
            </w:pPr>
            <w:r>
              <w:rPr>
                <w:rFonts w:hint="eastAsia" w:ascii="宋体" w:hAnsi="宋体" w:cs="宋体"/>
              </w:rPr>
              <w:t>6</w:t>
            </w:r>
          </w:p>
        </w:tc>
        <w:tc>
          <w:tcPr>
            <w:tcW w:w="1225" w:type="dxa"/>
            <w:vAlign w:val="center"/>
          </w:tcPr>
          <w:p w14:paraId="58BAFFCC">
            <w:pPr>
              <w:snapToGrid w:val="0"/>
              <w:contextualSpacing/>
              <w:rPr>
                <w:rFonts w:ascii="宋体" w:hAnsi="宋体" w:cs="宋体"/>
              </w:rPr>
            </w:pPr>
            <w:r>
              <w:rPr>
                <w:rFonts w:hint="eastAsia" w:ascii="宋体" w:hAnsi="宋体" w:cs="宋体"/>
              </w:rPr>
              <w:t>患者管理</w:t>
            </w:r>
          </w:p>
        </w:tc>
        <w:tc>
          <w:tcPr>
            <w:tcW w:w="1336" w:type="dxa"/>
            <w:vAlign w:val="center"/>
          </w:tcPr>
          <w:p w14:paraId="59B5F85E">
            <w:pPr>
              <w:snapToGrid w:val="0"/>
              <w:contextualSpacing/>
              <w:rPr>
                <w:rFonts w:ascii="宋体" w:hAnsi="宋体" w:cs="宋体"/>
              </w:rPr>
            </w:pPr>
            <w:r>
              <w:rPr>
                <w:rFonts w:hint="eastAsia" w:ascii="宋体" w:hAnsi="宋体" w:cs="宋体"/>
              </w:rPr>
              <w:t>患者管理</w:t>
            </w:r>
          </w:p>
        </w:tc>
        <w:tc>
          <w:tcPr>
            <w:tcW w:w="5295" w:type="dxa"/>
            <w:vAlign w:val="center"/>
          </w:tcPr>
          <w:p w14:paraId="4EC0E79E">
            <w:pPr>
              <w:pStyle w:val="23"/>
              <w:numPr>
                <w:ilvl w:val="0"/>
                <w:numId w:val="12"/>
              </w:numPr>
              <w:snapToGrid w:val="0"/>
              <w:ind w:firstLineChars="0"/>
              <w:contextualSpacing/>
              <w:rPr>
                <w:rFonts w:ascii="宋体" w:hAnsi="宋体" w:cs="宋体"/>
              </w:rPr>
            </w:pPr>
            <w:r>
              <w:rPr>
                <w:rFonts w:hint="eastAsia" w:ascii="宋体" w:hAnsi="宋体" w:cs="宋体"/>
              </w:rPr>
              <w:t>列表显示所有就诊过眼科的患者基本信息，可通过患者ID号/姓名进行简单查询，也可通过患者基本信息里所有单独字段信息组合条件查询，支持查询结果导出EXCEL</w:t>
            </w:r>
          </w:p>
          <w:p w14:paraId="029C394B">
            <w:pPr>
              <w:pStyle w:val="23"/>
              <w:numPr>
                <w:ilvl w:val="0"/>
                <w:numId w:val="12"/>
              </w:numPr>
              <w:snapToGrid w:val="0"/>
              <w:ind w:firstLineChars="0"/>
              <w:contextualSpacing/>
              <w:rPr>
                <w:rFonts w:ascii="宋体" w:hAnsi="宋体" w:cs="宋体"/>
              </w:rPr>
            </w:pPr>
            <w:r>
              <w:rPr>
                <w:rFonts w:hint="eastAsia" w:ascii="宋体" w:hAnsi="宋体" w:cs="宋体"/>
              </w:rPr>
              <w:t>可对单一患者基本信息里的错误内容进行手动修改，或选取后通过程序完成与HIS挂号表的对应患者信息实时更新</w:t>
            </w:r>
          </w:p>
        </w:tc>
      </w:tr>
      <w:tr w14:paraId="6FA0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56" w:type="dxa"/>
            <w:vMerge w:val="restart"/>
            <w:shd w:val="clear" w:color="auto" w:fill="FFFFFF" w:themeFill="background1"/>
            <w:vAlign w:val="center"/>
          </w:tcPr>
          <w:p w14:paraId="17004ADE">
            <w:pPr>
              <w:snapToGrid w:val="0"/>
              <w:contextualSpacing/>
              <w:rPr>
                <w:rFonts w:hint="default" w:ascii="宋体" w:hAnsi="宋体" w:eastAsia="宋体" w:cs="宋体"/>
                <w:lang w:val="en-US" w:eastAsia="zh-CN"/>
              </w:rPr>
            </w:pPr>
            <w:r>
              <w:rPr>
                <w:rFonts w:hint="eastAsia" w:ascii="宋体" w:hAnsi="宋体" w:cs="宋体"/>
                <w:lang w:val="en-US" w:eastAsia="zh-CN"/>
              </w:rPr>
              <w:t>7</w:t>
            </w:r>
          </w:p>
        </w:tc>
        <w:tc>
          <w:tcPr>
            <w:tcW w:w="1225" w:type="dxa"/>
            <w:vMerge w:val="restart"/>
            <w:vAlign w:val="center"/>
          </w:tcPr>
          <w:p w14:paraId="56C3F58D">
            <w:pPr>
              <w:snapToGrid w:val="0"/>
              <w:contextualSpacing/>
              <w:rPr>
                <w:rFonts w:ascii="宋体" w:hAnsi="宋体" w:cs="宋体"/>
                <w:color w:val="auto"/>
              </w:rPr>
            </w:pPr>
            <w:r>
              <w:rPr>
                <w:rFonts w:hint="eastAsia" w:ascii="宋体" w:hAnsi="宋体" w:cs="宋体"/>
                <w:color w:val="auto"/>
              </w:rPr>
              <w:t>统计报表</w:t>
            </w:r>
          </w:p>
        </w:tc>
        <w:tc>
          <w:tcPr>
            <w:tcW w:w="1336" w:type="dxa"/>
            <w:vAlign w:val="center"/>
          </w:tcPr>
          <w:p w14:paraId="5E19AB5D">
            <w:pPr>
              <w:snapToGrid w:val="0"/>
              <w:contextualSpacing/>
              <w:rPr>
                <w:rFonts w:ascii="宋体" w:hAnsi="宋体" w:cs="宋体"/>
                <w:color w:val="auto"/>
              </w:rPr>
            </w:pPr>
            <w:r>
              <w:rPr>
                <w:rFonts w:hint="eastAsia" w:ascii="宋体" w:hAnsi="宋体" w:cs="宋体"/>
                <w:color w:val="auto"/>
              </w:rPr>
              <w:t>实时数据统计</w:t>
            </w:r>
          </w:p>
        </w:tc>
        <w:tc>
          <w:tcPr>
            <w:tcW w:w="5295" w:type="dxa"/>
            <w:vAlign w:val="center"/>
          </w:tcPr>
          <w:p w14:paraId="3C343A81">
            <w:pPr>
              <w:snapToGrid w:val="0"/>
              <w:contextualSpacing/>
              <w:rPr>
                <w:rFonts w:hint="default" w:ascii="宋体" w:hAnsi="宋体" w:eastAsia="宋体" w:cs="宋体"/>
                <w:color w:val="auto"/>
                <w:highlight w:val="yellow"/>
                <w:lang w:val="en-US" w:eastAsia="zh-CN"/>
              </w:rPr>
            </w:pPr>
            <w:r>
              <w:rPr>
                <w:rFonts w:hint="eastAsia" w:ascii="宋体" w:hAnsi="宋体" w:cs="宋体"/>
                <w:color w:val="auto"/>
              </w:rPr>
              <w:t>图表化实时显示</w:t>
            </w:r>
            <w:r>
              <w:rPr>
                <w:rFonts w:hint="eastAsia" w:ascii="宋体" w:hAnsi="宋体" w:cs="宋体"/>
                <w:color w:val="auto"/>
                <w:lang w:val="en-US" w:eastAsia="zh-CN"/>
              </w:rPr>
              <w:t>业务系统中的动态数据情况，根据具体需求定制</w:t>
            </w:r>
          </w:p>
        </w:tc>
      </w:tr>
      <w:tr w14:paraId="61D25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0080BF3">
            <w:pPr>
              <w:snapToGrid w:val="0"/>
              <w:contextualSpacing/>
              <w:rPr>
                <w:rFonts w:hint="eastAsia" w:ascii="宋体" w:hAnsi="宋体" w:eastAsia="宋体" w:cs="宋体"/>
                <w:lang w:eastAsia="zh-CN"/>
              </w:rPr>
            </w:pPr>
          </w:p>
        </w:tc>
        <w:tc>
          <w:tcPr>
            <w:tcW w:w="1225" w:type="dxa"/>
            <w:vMerge w:val="continue"/>
          </w:tcPr>
          <w:p w14:paraId="4A902AAE">
            <w:pPr>
              <w:snapToGrid w:val="0"/>
              <w:ind w:firstLine="360"/>
              <w:contextualSpacing/>
              <w:jc w:val="center"/>
              <w:rPr>
                <w:rFonts w:ascii="宋体" w:hAnsi="宋体" w:cs="宋体"/>
                <w:color w:val="auto"/>
              </w:rPr>
            </w:pPr>
          </w:p>
        </w:tc>
        <w:tc>
          <w:tcPr>
            <w:tcW w:w="1336" w:type="dxa"/>
            <w:vAlign w:val="center"/>
          </w:tcPr>
          <w:p w14:paraId="7445CD38">
            <w:pPr>
              <w:snapToGrid w:val="0"/>
              <w:contextualSpacing/>
              <w:rPr>
                <w:rFonts w:ascii="宋体" w:hAnsi="宋体" w:cs="宋体"/>
                <w:color w:val="auto"/>
              </w:rPr>
            </w:pPr>
            <w:r>
              <w:rPr>
                <w:rFonts w:hint="eastAsia" w:ascii="宋体" w:hAnsi="宋体" w:cs="宋体"/>
                <w:color w:val="auto"/>
              </w:rPr>
              <w:t>手术量统计</w:t>
            </w:r>
          </w:p>
        </w:tc>
        <w:tc>
          <w:tcPr>
            <w:tcW w:w="5295" w:type="dxa"/>
            <w:vAlign w:val="center"/>
          </w:tcPr>
          <w:p w14:paraId="5D4CE902">
            <w:pPr>
              <w:snapToGrid w:val="0"/>
              <w:contextualSpacing/>
              <w:rPr>
                <w:rFonts w:ascii="宋体" w:hAnsi="宋体" w:cs="宋体"/>
                <w:color w:val="auto"/>
              </w:rPr>
            </w:pPr>
            <w:r>
              <w:rPr>
                <w:rFonts w:hint="eastAsia" w:ascii="宋体" w:hAnsi="宋体" w:cs="宋体"/>
                <w:color w:val="auto"/>
              </w:rPr>
              <w:t>对屈光手术按照主刀医生、配台技师、配台护士进行分类统计，并图形化展示。可根据时间段对指定人员进行不同手术名称的工作量数据统计，支持生成报表、导出EXCEL</w:t>
            </w:r>
          </w:p>
        </w:tc>
      </w:tr>
      <w:tr w14:paraId="7612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6305E33E">
            <w:pPr>
              <w:snapToGrid w:val="0"/>
              <w:ind w:firstLine="360"/>
              <w:contextualSpacing/>
              <w:jc w:val="center"/>
              <w:rPr>
                <w:rFonts w:ascii="宋体" w:hAnsi="宋体" w:cs="宋体"/>
              </w:rPr>
            </w:pPr>
          </w:p>
        </w:tc>
        <w:tc>
          <w:tcPr>
            <w:tcW w:w="1225" w:type="dxa"/>
            <w:vMerge w:val="continue"/>
          </w:tcPr>
          <w:p w14:paraId="5672AFD3">
            <w:pPr>
              <w:snapToGrid w:val="0"/>
              <w:ind w:firstLine="360"/>
              <w:contextualSpacing/>
              <w:jc w:val="center"/>
              <w:rPr>
                <w:rFonts w:ascii="宋体" w:hAnsi="宋体" w:cs="宋体"/>
                <w:color w:val="auto"/>
              </w:rPr>
            </w:pPr>
          </w:p>
        </w:tc>
        <w:tc>
          <w:tcPr>
            <w:tcW w:w="1336" w:type="dxa"/>
            <w:vAlign w:val="center"/>
          </w:tcPr>
          <w:p w14:paraId="66A8E8E1">
            <w:pPr>
              <w:snapToGrid w:val="0"/>
              <w:contextualSpacing/>
              <w:rPr>
                <w:rFonts w:ascii="宋体" w:hAnsi="宋体" w:cs="宋体"/>
                <w:color w:val="auto"/>
              </w:rPr>
            </w:pPr>
            <w:r>
              <w:rPr>
                <w:rFonts w:hint="eastAsia" w:ascii="宋体" w:hAnsi="宋体" w:cs="宋体"/>
                <w:color w:val="auto"/>
              </w:rPr>
              <w:t>疾病统计</w:t>
            </w:r>
          </w:p>
        </w:tc>
        <w:tc>
          <w:tcPr>
            <w:tcW w:w="5295" w:type="dxa"/>
            <w:vAlign w:val="center"/>
          </w:tcPr>
          <w:p w14:paraId="7E1E0E51">
            <w:pPr>
              <w:snapToGrid w:val="0"/>
              <w:contextualSpacing/>
              <w:rPr>
                <w:rFonts w:ascii="宋体" w:hAnsi="宋体" w:cs="宋体"/>
                <w:color w:val="auto"/>
              </w:rPr>
            </w:pPr>
            <w:r>
              <w:rPr>
                <w:rFonts w:hint="eastAsia" w:ascii="宋体" w:hAnsi="宋体" w:cs="宋体"/>
                <w:color w:val="auto"/>
              </w:rPr>
              <w:t>可按照时间条件查询统计在门诊诊断为不同眼科疾病的病种占比，并图形化展示。支持对指定医生的诊断疾病数据进行查询统计</w:t>
            </w:r>
          </w:p>
        </w:tc>
      </w:tr>
      <w:tr w14:paraId="1ECC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1490F992">
            <w:pPr>
              <w:snapToGrid w:val="0"/>
              <w:ind w:firstLine="360"/>
              <w:contextualSpacing/>
              <w:jc w:val="center"/>
              <w:rPr>
                <w:rFonts w:ascii="宋体" w:hAnsi="宋体" w:cs="宋体"/>
              </w:rPr>
            </w:pPr>
          </w:p>
        </w:tc>
        <w:tc>
          <w:tcPr>
            <w:tcW w:w="1225" w:type="dxa"/>
            <w:vMerge w:val="continue"/>
          </w:tcPr>
          <w:p w14:paraId="5707B335">
            <w:pPr>
              <w:snapToGrid w:val="0"/>
              <w:ind w:firstLine="360"/>
              <w:contextualSpacing/>
              <w:jc w:val="center"/>
              <w:rPr>
                <w:rFonts w:ascii="宋体" w:hAnsi="宋体" w:cs="宋体"/>
                <w:color w:val="FF0000"/>
              </w:rPr>
            </w:pPr>
          </w:p>
        </w:tc>
        <w:tc>
          <w:tcPr>
            <w:tcW w:w="1336" w:type="dxa"/>
            <w:vAlign w:val="center"/>
          </w:tcPr>
          <w:p w14:paraId="30903350">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其他统计</w:t>
            </w:r>
          </w:p>
        </w:tc>
        <w:tc>
          <w:tcPr>
            <w:tcW w:w="5295" w:type="dxa"/>
            <w:vAlign w:val="center"/>
          </w:tcPr>
          <w:p w14:paraId="43A8DAB9">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服务期内需</w:t>
            </w:r>
            <w:r>
              <w:rPr>
                <w:rFonts w:hint="eastAsia" w:ascii="宋体" w:hAnsi="宋体" w:cs="宋体"/>
                <w:color w:val="auto"/>
              </w:rPr>
              <w:t>根据</w:t>
            </w:r>
            <w:r>
              <w:rPr>
                <w:rFonts w:hint="eastAsia" w:ascii="宋体" w:hAnsi="宋体" w:cs="宋体"/>
                <w:color w:val="auto"/>
                <w:lang w:val="en-US" w:eastAsia="zh-CN"/>
              </w:rPr>
              <w:t>科室</w:t>
            </w:r>
            <w:r>
              <w:rPr>
                <w:rFonts w:hint="eastAsia" w:ascii="宋体" w:hAnsi="宋体" w:cs="宋体"/>
                <w:color w:val="auto"/>
              </w:rPr>
              <w:t>具体需求定制</w:t>
            </w:r>
            <w:r>
              <w:rPr>
                <w:rFonts w:hint="eastAsia" w:ascii="宋体" w:hAnsi="宋体" w:cs="宋体"/>
                <w:color w:val="auto"/>
                <w:lang w:val="en-US" w:eastAsia="zh-CN"/>
              </w:rPr>
              <w:t>统计报表，不得额外收取费用</w:t>
            </w:r>
          </w:p>
        </w:tc>
      </w:tr>
      <w:tr w14:paraId="62CF8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restart"/>
            <w:vAlign w:val="center"/>
          </w:tcPr>
          <w:p w14:paraId="583114A1">
            <w:pPr>
              <w:snapToGrid w:val="0"/>
              <w:contextualSpacing/>
              <w:rPr>
                <w:rFonts w:hint="default" w:ascii="宋体" w:hAnsi="宋体" w:cs="宋体"/>
                <w:lang w:val="en-US" w:eastAsia="zh-CN"/>
              </w:rPr>
            </w:pPr>
            <w:r>
              <w:rPr>
                <w:rFonts w:hint="eastAsia" w:ascii="宋体" w:hAnsi="宋体" w:cs="宋体"/>
                <w:lang w:val="en-US" w:eastAsia="zh-CN"/>
              </w:rPr>
              <w:t>8</w:t>
            </w:r>
          </w:p>
        </w:tc>
        <w:tc>
          <w:tcPr>
            <w:tcW w:w="1225" w:type="dxa"/>
            <w:vMerge w:val="restart"/>
          </w:tcPr>
          <w:p w14:paraId="19F2682A">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移动端管理</w:t>
            </w:r>
          </w:p>
        </w:tc>
        <w:tc>
          <w:tcPr>
            <w:tcW w:w="1336" w:type="dxa"/>
            <w:vAlign w:val="center"/>
          </w:tcPr>
          <w:p w14:paraId="253DE6E3">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手术预约</w:t>
            </w:r>
          </w:p>
        </w:tc>
        <w:tc>
          <w:tcPr>
            <w:tcW w:w="5295" w:type="dxa"/>
            <w:vAlign w:val="center"/>
          </w:tcPr>
          <w:p w14:paraId="1D6D25DB">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支持患者通过手机端申请预约手术屈光手术</w:t>
            </w:r>
          </w:p>
        </w:tc>
      </w:tr>
      <w:tr w14:paraId="3C0B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E0F6836">
            <w:pPr>
              <w:snapToGrid w:val="0"/>
              <w:contextualSpacing/>
              <w:rPr>
                <w:rFonts w:hint="eastAsia" w:ascii="宋体" w:hAnsi="宋体" w:cs="宋体"/>
                <w:lang w:val="en-US" w:eastAsia="zh-CN"/>
              </w:rPr>
            </w:pPr>
          </w:p>
        </w:tc>
        <w:tc>
          <w:tcPr>
            <w:tcW w:w="1225" w:type="dxa"/>
            <w:vMerge w:val="continue"/>
          </w:tcPr>
          <w:p w14:paraId="4E439D9E">
            <w:pPr>
              <w:snapToGrid w:val="0"/>
              <w:contextualSpacing/>
              <w:rPr>
                <w:rFonts w:hint="eastAsia" w:ascii="宋体" w:hAnsi="宋体" w:cs="宋体"/>
                <w:color w:val="auto"/>
              </w:rPr>
            </w:pPr>
          </w:p>
        </w:tc>
        <w:tc>
          <w:tcPr>
            <w:tcW w:w="1336" w:type="dxa"/>
            <w:vAlign w:val="center"/>
          </w:tcPr>
          <w:p w14:paraId="38F3A2F2">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预约信息接收</w:t>
            </w:r>
          </w:p>
        </w:tc>
        <w:tc>
          <w:tcPr>
            <w:tcW w:w="5295" w:type="dxa"/>
            <w:vAlign w:val="center"/>
          </w:tcPr>
          <w:p w14:paraId="4A028B9E">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通过微信模版消息或者短信接收预约结果信息，或者手术开始前注意事项的信息接收</w:t>
            </w:r>
          </w:p>
        </w:tc>
      </w:tr>
      <w:tr w14:paraId="1AEB8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57F7A404">
            <w:pPr>
              <w:snapToGrid w:val="0"/>
              <w:contextualSpacing/>
              <w:rPr>
                <w:rFonts w:hint="eastAsia" w:ascii="宋体" w:hAnsi="宋体" w:cs="宋体"/>
                <w:lang w:val="en-US" w:eastAsia="zh-CN"/>
              </w:rPr>
            </w:pPr>
          </w:p>
        </w:tc>
        <w:tc>
          <w:tcPr>
            <w:tcW w:w="1225" w:type="dxa"/>
            <w:vMerge w:val="continue"/>
          </w:tcPr>
          <w:p w14:paraId="4B878A03">
            <w:pPr>
              <w:snapToGrid w:val="0"/>
              <w:contextualSpacing/>
              <w:rPr>
                <w:rFonts w:hint="eastAsia" w:ascii="宋体" w:hAnsi="宋体" w:cs="宋体"/>
                <w:color w:val="auto"/>
              </w:rPr>
            </w:pPr>
          </w:p>
        </w:tc>
        <w:tc>
          <w:tcPr>
            <w:tcW w:w="1336" w:type="dxa"/>
            <w:vAlign w:val="center"/>
          </w:tcPr>
          <w:p w14:paraId="78A00440">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手术信息查询</w:t>
            </w:r>
          </w:p>
        </w:tc>
        <w:tc>
          <w:tcPr>
            <w:tcW w:w="5295" w:type="dxa"/>
            <w:vAlign w:val="center"/>
          </w:tcPr>
          <w:p w14:paraId="1923CA5C">
            <w:pPr>
              <w:snapToGrid w:val="0"/>
              <w:contextualSpacing/>
              <w:rPr>
                <w:rFonts w:hint="default" w:ascii="宋体" w:hAnsi="宋体" w:eastAsia="宋体" w:cs="宋体"/>
                <w:color w:val="auto"/>
                <w:lang w:val="en-US" w:eastAsia="zh-CN"/>
              </w:rPr>
            </w:pPr>
            <w:r>
              <w:rPr>
                <w:rFonts w:hint="eastAsia" w:ascii="宋体" w:hAnsi="宋体" w:cs="宋体"/>
                <w:color w:val="auto"/>
                <w:lang w:val="en-US" w:eastAsia="zh-CN"/>
              </w:rPr>
              <w:t>支持患者在移动端查询自己的手术预约信息</w:t>
            </w:r>
          </w:p>
        </w:tc>
      </w:tr>
      <w:tr w14:paraId="5E30F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restart"/>
            <w:vAlign w:val="center"/>
          </w:tcPr>
          <w:p w14:paraId="4196F80C">
            <w:pPr>
              <w:snapToGrid w:val="0"/>
              <w:contextualSpacing/>
              <w:rPr>
                <w:rFonts w:hint="eastAsia" w:ascii="宋体" w:hAnsi="宋体" w:eastAsia="宋体" w:cs="宋体"/>
                <w:lang w:val="en-US" w:eastAsia="zh-CN"/>
              </w:rPr>
            </w:pPr>
            <w:r>
              <w:rPr>
                <w:rFonts w:hint="eastAsia" w:ascii="宋体" w:hAnsi="宋体" w:cs="宋体"/>
                <w:lang w:val="en-US" w:eastAsia="zh-CN"/>
              </w:rPr>
              <w:t>9</w:t>
            </w:r>
          </w:p>
        </w:tc>
        <w:tc>
          <w:tcPr>
            <w:tcW w:w="1225" w:type="dxa"/>
            <w:vMerge w:val="restart"/>
          </w:tcPr>
          <w:p w14:paraId="7F0385F2">
            <w:pPr>
              <w:snapToGrid w:val="0"/>
              <w:contextualSpacing/>
              <w:rPr>
                <w:rFonts w:ascii="宋体" w:hAnsi="宋体" w:cs="宋体"/>
              </w:rPr>
            </w:pPr>
            <w:r>
              <w:rPr>
                <w:rFonts w:hint="eastAsia" w:ascii="宋体" w:hAnsi="宋体" w:cs="宋体"/>
              </w:rPr>
              <w:t>系统管理</w:t>
            </w:r>
          </w:p>
        </w:tc>
        <w:tc>
          <w:tcPr>
            <w:tcW w:w="1336" w:type="dxa"/>
            <w:vAlign w:val="center"/>
          </w:tcPr>
          <w:p w14:paraId="6788BE3D">
            <w:pPr>
              <w:snapToGrid w:val="0"/>
              <w:contextualSpacing/>
              <w:rPr>
                <w:rFonts w:ascii="宋体" w:hAnsi="宋体" w:cs="宋体"/>
              </w:rPr>
            </w:pPr>
            <w:r>
              <w:rPr>
                <w:rFonts w:hint="eastAsia" w:ascii="宋体" w:hAnsi="宋体" w:cs="宋体"/>
              </w:rPr>
              <w:t>患者统计</w:t>
            </w:r>
          </w:p>
        </w:tc>
        <w:tc>
          <w:tcPr>
            <w:tcW w:w="5295" w:type="dxa"/>
            <w:vAlign w:val="center"/>
          </w:tcPr>
          <w:p w14:paraId="4FAFB91F">
            <w:pPr>
              <w:snapToGrid w:val="0"/>
              <w:contextualSpacing/>
              <w:rPr>
                <w:rFonts w:ascii="宋体" w:hAnsi="宋体" w:cs="宋体"/>
              </w:rPr>
            </w:pPr>
            <w:r>
              <w:rPr>
                <w:rFonts w:hint="eastAsia" w:ascii="宋体" w:hAnsi="宋体" w:cs="宋体"/>
              </w:rPr>
              <w:t>根据时间段对眼科接诊的所有患者地区来源进行统计，图形化展示来源各地区的占比</w:t>
            </w:r>
          </w:p>
        </w:tc>
      </w:tr>
      <w:tr w14:paraId="2A76C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3DE52379">
            <w:pPr>
              <w:snapToGrid w:val="0"/>
              <w:ind w:firstLine="360"/>
              <w:contextualSpacing/>
              <w:jc w:val="center"/>
              <w:rPr>
                <w:rFonts w:ascii="宋体" w:hAnsi="宋体" w:cs="宋体"/>
              </w:rPr>
            </w:pPr>
          </w:p>
        </w:tc>
        <w:tc>
          <w:tcPr>
            <w:tcW w:w="1225" w:type="dxa"/>
            <w:vMerge w:val="continue"/>
          </w:tcPr>
          <w:p w14:paraId="592AB46F">
            <w:pPr>
              <w:snapToGrid w:val="0"/>
              <w:ind w:firstLine="360"/>
              <w:contextualSpacing/>
              <w:jc w:val="center"/>
              <w:rPr>
                <w:rFonts w:ascii="宋体" w:hAnsi="宋体" w:cs="宋体"/>
              </w:rPr>
            </w:pPr>
          </w:p>
        </w:tc>
        <w:tc>
          <w:tcPr>
            <w:tcW w:w="1336" w:type="dxa"/>
            <w:vAlign w:val="center"/>
          </w:tcPr>
          <w:p w14:paraId="7010AF15">
            <w:pPr>
              <w:snapToGrid w:val="0"/>
              <w:contextualSpacing/>
              <w:rPr>
                <w:rFonts w:ascii="宋体" w:hAnsi="宋体" w:cs="宋体"/>
              </w:rPr>
            </w:pPr>
            <w:r>
              <w:rPr>
                <w:rFonts w:hint="eastAsia" w:ascii="宋体" w:hAnsi="宋体" w:cs="宋体"/>
              </w:rPr>
              <w:t>用户管理</w:t>
            </w:r>
          </w:p>
        </w:tc>
        <w:tc>
          <w:tcPr>
            <w:tcW w:w="5295" w:type="dxa"/>
            <w:vAlign w:val="center"/>
          </w:tcPr>
          <w:p w14:paraId="1DF01658">
            <w:pPr>
              <w:snapToGrid w:val="0"/>
              <w:contextualSpacing/>
              <w:rPr>
                <w:rFonts w:ascii="宋体" w:hAnsi="宋体" w:cs="宋体"/>
              </w:rPr>
            </w:pPr>
            <w:r>
              <w:rPr>
                <w:rFonts w:hint="eastAsia" w:ascii="宋体" w:hAnsi="宋体" w:cs="宋体"/>
              </w:rPr>
              <w:t>对所有使用系统的登陆用户名统一管理，实现用户名信息查询、新增、修改、删除、修改密码、角色分配、用户检查项目配置、启用/禁用用户等功能</w:t>
            </w:r>
          </w:p>
        </w:tc>
      </w:tr>
      <w:tr w14:paraId="3D0AD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41C01336">
            <w:pPr>
              <w:snapToGrid w:val="0"/>
              <w:ind w:firstLine="360"/>
              <w:contextualSpacing/>
              <w:jc w:val="center"/>
              <w:rPr>
                <w:rFonts w:ascii="宋体" w:hAnsi="宋体" w:cs="宋体"/>
              </w:rPr>
            </w:pPr>
          </w:p>
        </w:tc>
        <w:tc>
          <w:tcPr>
            <w:tcW w:w="1225" w:type="dxa"/>
            <w:vMerge w:val="continue"/>
            <w:vAlign w:val="center"/>
          </w:tcPr>
          <w:p w14:paraId="60135535">
            <w:pPr>
              <w:snapToGrid w:val="0"/>
              <w:contextualSpacing/>
              <w:rPr>
                <w:rFonts w:ascii="宋体" w:hAnsi="宋体" w:cs="宋体"/>
              </w:rPr>
            </w:pPr>
          </w:p>
        </w:tc>
        <w:tc>
          <w:tcPr>
            <w:tcW w:w="1336" w:type="dxa"/>
            <w:vAlign w:val="center"/>
          </w:tcPr>
          <w:p w14:paraId="3B33C3BE">
            <w:pPr>
              <w:snapToGrid w:val="0"/>
              <w:contextualSpacing/>
              <w:rPr>
                <w:rFonts w:ascii="宋体" w:hAnsi="宋体" w:cs="宋体"/>
              </w:rPr>
            </w:pPr>
            <w:r>
              <w:rPr>
                <w:rFonts w:hint="eastAsia" w:ascii="宋体" w:hAnsi="宋体" w:cs="宋体"/>
              </w:rPr>
              <w:t>科室管理</w:t>
            </w:r>
          </w:p>
        </w:tc>
        <w:tc>
          <w:tcPr>
            <w:tcW w:w="5295" w:type="dxa"/>
            <w:vAlign w:val="center"/>
          </w:tcPr>
          <w:p w14:paraId="1FC1D553">
            <w:pPr>
              <w:snapToGrid w:val="0"/>
              <w:contextualSpacing/>
              <w:rPr>
                <w:rFonts w:ascii="宋体" w:hAnsi="宋体" w:cs="宋体"/>
              </w:rPr>
            </w:pPr>
            <w:r>
              <w:rPr>
                <w:rFonts w:hint="eastAsia" w:ascii="宋体" w:hAnsi="宋体" w:cs="宋体"/>
              </w:rPr>
              <w:t>对医院各个业务科室及眼科部门名称、代码、位置信息等进行配维护，包含新增、修改、删除、查询功能</w:t>
            </w:r>
          </w:p>
        </w:tc>
      </w:tr>
      <w:tr w14:paraId="762F9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290FCB7E">
            <w:pPr>
              <w:snapToGrid w:val="0"/>
              <w:ind w:firstLine="360"/>
              <w:contextualSpacing/>
              <w:jc w:val="center"/>
              <w:rPr>
                <w:rFonts w:ascii="宋体" w:hAnsi="宋体" w:cs="宋体"/>
              </w:rPr>
            </w:pPr>
          </w:p>
        </w:tc>
        <w:tc>
          <w:tcPr>
            <w:tcW w:w="1225" w:type="dxa"/>
            <w:vMerge w:val="continue"/>
            <w:vAlign w:val="center"/>
          </w:tcPr>
          <w:p w14:paraId="350709F6">
            <w:pPr>
              <w:snapToGrid w:val="0"/>
              <w:ind w:firstLine="360"/>
              <w:contextualSpacing/>
              <w:jc w:val="center"/>
              <w:rPr>
                <w:rFonts w:ascii="宋体" w:hAnsi="宋体" w:cs="宋体"/>
              </w:rPr>
            </w:pPr>
          </w:p>
        </w:tc>
        <w:tc>
          <w:tcPr>
            <w:tcW w:w="1336" w:type="dxa"/>
            <w:vAlign w:val="center"/>
          </w:tcPr>
          <w:p w14:paraId="4BA8B9E2">
            <w:pPr>
              <w:snapToGrid w:val="0"/>
              <w:contextualSpacing/>
              <w:rPr>
                <w:rFonts w:ascii="宋体" w:hAnsi="宋体" w:cs="宋体"/>
              </w:rPr>
            </w:pPr>
            <w:r>
              <w:rPr>
                <w:rFonts w:hint="eastAsia" w:ascii="宋体" w:hAnsi="宋体" w:cs="宋体"/>
              </w:rPr>
              <w:t>员工管理</w:t>
            </w:r>
          </w:p>
        </w:tc>
        <w:tc>
          <w:tcPr>
            <w:tcW w:w="5295" w:type="dxa"/>
            <w:vAlign w:val="center"/>
          </w:tcPr>
          <w:p w14:paraId="18061454">
            <w:pPr>
              <w:snapToGrid w:val="0"/>
              <w:contextualSpacing/>
              <w:rPr>
                <w:rFonts w:ascii="宋体" w:hAnsi="宋体" w:cs="宋体"/>
              </w:rPr>
            </w:pPr>
            <w:r>
              <w:rPr>
                <w:rFonts w:hint="eastAsia" w:ascii="宋体" w:hAnsi="宋体" w:cs="宋体"/>
              </w:rPr>
              <w:t>对科室所有员进行管理，实现个人基本信息的查询、新增、维护，设置员工在/离职状态，可统计个人工作绩效数据并导出，员工个人简历信息可以模板方式进行导出</w:t>
            </w:r>
          </w:p>
        </w:tc>
      </w:tr>
      <w:tr w14:paraId="4807E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56" w:type="dxa"/>
            <w:vMerge w:val="continue"/>
            <w:vAlign w:val="center"/>
          </w:tcPr>
          <w:p w14:paraId="05397FD0">
            <w:pPr>
              <w:snapToGrid w:val="0"/>
              <w:ind w:firstLine="360"/>
              <w:contextualSpacing/>
              <w:jc w:val="center"/>
              <w:rPr>
                <w:rFonts w:ascii="宋体" w:hAnsi="宋体" w:cs="宋体"/>
              </w:rPr>
            </w:pPr>
          </w:p>
        </w:tc>
        <w:tc>
          <w:tcPr>
            <w:tcW w:w="1225" w:type="dxa"/>
            <w:vMerge w:val="continue"/>
            <w:vAlign w:val="center"/>
          </w:tcPr>
          <w:p w14:paraId="673995B2">
            <w:pPr>
              <w:snapToGrid w:val="0"/>
              <w:ind w:firstLine="360"/>
              <w:contextualSpacing/>
              <w:jc w:val="center"/>
              <w:rPr>
                <w:rFonts w:ascii="宋体" w:hAnsi="宋体" w:cs="宋体"/>
              </w:rPr>
            </w:pPr>
          </w:p>
        </w:tc>
        <w:tc>
          <w:tcPr>
            <w:tcW w:w="1336" w:type="dxa"/>
            <w:vAlign w:val="center"/>
          </w:tcPr>
          <w:p w14:paraId="5E425531">
            <w:pPr>
              <w:snapToGrid w:val="0"/>
              <w:contextualSpacing/>
              <w:rPr>
                <w:rFonts w:ascii="宋体" w:hAnsi="宋体" w:cs="宋体"/>
              </w:rPr>
            </w:pPr>
            <w:r>
              <w:rPr>
                <w:rFonts w:hint="eastAsia" w:ascii="宋体" w:hAnsi="宋体" w:cs="宋体"/>
              </w:rPr>
              <w:t>角色管理</w:t>
            </w:r>
          </w:p>
        </w:tc>
        <w:tc>
          <w:tcPr>
            <w:tcW w:w="5295" w:type="dxa"/>
            <w:vAlign w:val="center"/>
          </w:tcPr>
          <w:p w14:paraId="61590EBD">
            <w:pPr>
              <w:snapToGrid w:val="0"/>
              <w:contextualSpacing/>
              <w:rPr>
                <w:rFonts w:ascii="宋体" w:hAnsi="宋体" w:cs="宋体"/>
              </w:rPr>
            </w:pPr>
            <w:r>
              <w:rPr>
                <w:rFonts w:hint="eastAsia" w:ascii="宋体" w:hAnsi="宋体" w:cs="宋体"/>
              </w:rPr>
              <w:t>按照系统的功能模块配置不同的角色权限，实现角色名称的新增、修改、删除功能，对角色下的一级/二级功能模块进行细化配置</w:t>
            </w:r>
          </w:p>
        </w:tc>
      </w:tr>
    </w:tbl>
    <w:p w14:paraId="5EDE6514">
      <w:pPr>
        <w:pStyle w:val="4"/>
      </w:pPr>
      <w:r>
        <w:t>眼科检查</w:t>
      </w:r>
      <w:r>
        <w:rPr>
          <w:rFonts w:hint="eastAsia"/>
        </w:rPr>
        <w:t>模块</w:t>
      </w:r>
    </w:p>
    <w:tbl>
      <w:tblPr>
        <w:tblStyle w:val="19"/>
        <w:tblW w:w="4865"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092"/>
        <w:gridCol w:w="1194"/>
        <w:gridCol w:w="5444"/>
      </w:tblGrid>
      <w:tr w14:paraId="5162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62" w:type="dxa"/>
            <w:vMerge w:val="restart"/>
            <w:vAlign w:val="center"/>
          </w:tcPr>
          <w:p w14:paraId="38BB257C">
            <w:pPr>
              <w:jc w:val="center"/>
              <w:rPr>
                <w:rFonts w:ascii="宋体" w:hAnsi="宋体" w:cs="宋体"/>
              </w:rPr>
            </w:pPr>
            <w:r>
              <w:rPr>
                <w:rFonts w:hint="eastAsia" w:ascii="宋体" w:hAnsi="宋体" w:cs="宋体"/>
              </w:rPr>
              <w:t>序号</w:t>
            </w:r>
          </w:p>
        </w:tc>
        <w:tc>
          <w:tcPr>
            <w:tcW w:w="2286" w:type="dxa"/>
            <w:gridSpan w:val="2"/>
            <w:vAlign w:val="center"/>
          </w:tcPr>
          <w:p w14:paraId="045289D6">
            <w:pPr>
              <w:rPr>
                <w:rFonts w:ascii="宋体" w:hAnsi="宋体" w:cs="宋体"/>
              </w:rPr>
            </w:pPr>
            <w:r>
              <w:rPr>
                <w:rFonts w:hint="eastAsia" w:ascii="宋体" w:hAnsi="宋体" w:cs="宋体"/>
              </w:rPr>
              <w:t>功能/性能</w:t>
            </w:r>
          </w:p>
        </w:tc>
        <w:tc>
          <w:tcPr>
            <w:tcW w:w="5444" w:type="dxa"/>
            <w:vMerge w:val="restart"/>
            <w:vAlign w:val="center"/>
          </w:tcPr>
          <w:p w14:paraId="6C18EFE4">
            <w:pPr>
              <w:rPr>
                <w:rFonts w:ascii="宋体" w:hAnsi="宋体" w:cs="宋体"/>
              </w:rPr>
            </w:pPr>
            <w:r>
              <w:rPr>
                <w:rFonts w:hint="eastAsia" w:ascii="宋体" w:hAnsi="宋体" w:cs="宋体"/>
              </w:rPr>
              <w:t>具体要求</w:t>
            </w:r>
          </w:p>
        </w:tc>
      </w:tr>
      <w:tr w14:paraId="4B5B3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562" w:type="dxa"/>
            <w:vMerge w:val="continue"/>
            <w:vAlign w:val="center"/>
          </w:tcPr>
          <w:p w14:paraId="6F7CB924">
            <w:pPr>
              <w:jc w:val="center"/>
              <w:rPr>
                <w:rFonts w:ascii="宋体" w:hAnsi="宋体" w:cs="宋体"/>
              </w:rPr>
            </w:pPr>
          </w:p>
        </w:tc>
        <w:tc>
          <w:tcPr>
            <w:tcW w:w="1092" w:type="dxa"/>
            <w:vAlign w:val="center"/>
          </w:tcPr>
          <w:p w14:paraId="0B318B64">
            <w:pPr>
              <w:rPr>
                <w:rFonts w:ascii="宋体" w:hAnsi="宋体" w:cs="宋体"/>
              </w:rPr>
            </w:pPr>
            <w:r>
              <w:rPr>
                <w:rFonts w:hint="eastAsia" w:ascii="宋体" w:hAnsi="宋体" w:cs="宋体"/>
              </w:rPr>
              <w:t>一级功能</w:t>
            </w:r>
          </w:p>
        </w:tc>
        <w:tc>
          <w:tcPr>
            <w:tcW w:w="1194" w:type="dxa"/>
            <w:vAlign w:val="center"/>
          </w:tcPr>
          <w:p w14:paraId="5C7FB885">
            <w:pPr>
              <w:rPr>
                <w:rFonts w:ascii="宋体" w:hAnsi="宋体" w:cs="宋体"/>
              </w:rPr>
            </w:pPr>
            <w:r>
              <w:rPr>
                <w:rFonts w:hint="eastAsia" w:ascii="宋体" w:hAnsi="宋体" w:cs="宋体"/>
              </w:rPr>
              <w:t>二级功能</w:t>
            </w:r>
          </w:p>
        </w:tc>
        <w:tc>
          <w:tcPr>
            <w:tcW w:w="5444" w:type="dxa"/>
            <w:vMerge w:val="continue"/>
            <w:vAlign w:val="center"/>
          </w:tcPr>
          <w:p w14:paraId="4BCE6871">
            <w:pPr>
              <w:rPr>
                <w:rFonts w:ascii="宋体" w:hAnsi="宋体" w:cs="宋体"/>
              </w:rPr>
            </w:pPr>
          </w:p>
        </w:tc>
      </w:tr>
      <w:tr w14:paraId="7676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562" w:type="dxa"/>
            <w:vAlign w:val="center"/>
          </w:tcPr>
          <w:p w14:paraId="67509DB0">
            <w:pPr>
              <w:jc w:val="center"/>
              <w:rPr>
                <w:rFonts w:ascii="宋体" w:hAnsi="宋体" w:cs="宋体"/>
              </w:rPr>
            </w:pPr>
            <w:r>
              <w:rPr>
                <w:rFonts w:hint="eastAsia" w:ascii="宋体" w:hAnsi="宋体" w:cs="宋体"/>
              </w:rPr>
              <w:t>1</w:t>
            </w:r>
          </w:p>
        </w:tc>
        <w:tc>
          <w:tcPr>
            <w:tcW w:w="1092" w:type="dxa"/>
            <w:vAlign w:val="center"/>
          </w:tcPr>
          <w:p w14:paraId="73072FE4">
            <w:pPr>
              <w:rPr>
                <w:rFonts w:ascii="宋体" w:hAnsi="宋体" w:cs="宋体"/>
              </w:rPr>
            </w:pPr>
            <w:r>
              <w:rPr>
                <w:rFonts w:hint="eastAsia" w:ascii="宋体" w:hAnsi="宋体" w:cs="宋体"/>
              </w:rPr>
              <w:t>用户登录</w:t>
            </w:r>
          </w:p>
        </w:tc>
        <w:tc>
          <w:tcPr>
            <w:tcW w:w="1194" w:type="dxa"/>
            <w:vAlign w:val="center"/>
          </w:tcPr>
          <w:p w14:paraId="78766406">
            <w:pPr>
              <w:rPr>
                <w:rFonts w:ascii="宋体" w:hAnsi="宋体" w:cs="宋体"/>
              </w:rPr>
            </w:pPr>
            <w:r>
              <w:rPr>
                <w:rFonts w:hint="eastAsia" w:ascii="宋体" w:hAnsi="宋体" w:cs="宋体"/>
              </w:rPr>
              <w:t>用户登录</w:t>
            </w:r>
          </w:p>
        </w:tc>
        <w:tc>
          <w:tcPr>
            <w:tcW w:w="5444" w:type="dxa"/>
            <w:vAlign w:val="center"/>
          </w:tcPr>
          <w:p w14:paraId="7617D695">
            <w:pPr>
              <w:rPr>
                <w:rFonts w:ascii="宋体" w:hAnsi="宋体" w:cs="宋体"/>
              </w:rPr>
            </w:pPr>
            <w:r>
              <w:rPr>
                <w:rFonts w:hint="eastAsia" w:ascii="宋体" w:hAnsi="宋体" w:cs="宋体"/>
              </w:rPr>
              <w:t>支持以用户名登录，支持以工号登录，登陆密码可自行修改，提供记住密码功能，支持重置登录信息，帐号及密码在后台用户管理模块中配置，支持单点登录，CA签名认证登录</w:t>
            </w:r>
          </w:p>
        </w:tc>
      </w:tr>
      <w:tr w14:paraId="0238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Align w:val="center"/>
          </w:tcPr>
          <w:p w14:paraId="5E1A3F50">
            <w:pPr>
              <w:jc w:val="center"/>
              <w:rPr>
                <w:rFonts w:ascii="宋体" w:hAnsi="宋体" w:cs="宋体"/>
              </w:rPr>
            </w:pPr>
            <w:r>
              <w:rPr>
                <w:rFonts w:hint="eastAsia" w:ascii="宋体" w:hAnsi="宋体" w:cs="宋体"/>
              </w:rPr>
              <w:t>2</w:t>
            </w:r>
          </w:p>
        </w:tc>
        <w:tc>
          <w:tcPr>
            <w:tcW w:w="1092" w:type="dxa"/>
            <w:vAlign w:val="center"/>
          </w:tcPr>
          <w:p w14:paraId="1D28BF0A">
            <w:pPr>
              <w:rPr>
                <w:rFonts w:ascii="宋体" w:hAnsi="宋体" w:cs="宋体"/>
              </w:rPr>
            </w:pPr>
            <w:r>
              <w:rPr>
                <w:rFonts w:hint="eastAsia" w:ascii="宋体" w:hAnsi="宋体" w:cs="宋体"/>
              </w:rPr>
              <w:t>系统首页</w:t>
            </w:r>
          </w:p>
        </w:tc>
        <w:tc>
          <w:tcPr>
            <w:tcW w:w="1194" w:type="dxa"/>
            <w:vAlign w:val="center"/>
          </w:tcPr>
          <w:p w14:paraId="3A99139A">
            <w:pPr>
              <w:rPr>
                <w:rFonts w:ascii="宋体" w:hAnsi="宋体" w:cs="宋体"/>
              </w:rPr>
            </w:pPr>
            <w:r>
              <w:rPr>
                <w:rFonts w:hint="eastAsia" w:ascii="宋体" w:hAnsi="宋体" w:cs="宋体"/>
              </w:rPr>
              <w:t>用户登录</w:t>
            </w:r>
          </w:p>
        </w:tc>
        <w:tc>
          <w:tcPr>
            <w:tcW w:w="5444" w:type="dxa"/>
            <w:vAlign w:val="center"/>
          </w:tcPr>
          <w:p w14:paraId="78AD0BB2">
            <w:pPr>
              <w:pStyle w:val="23"/>
              <w:numPr>
                <w:ilvl w:val="0"/>
                <w:numId w:val="13"/>
              </w:numPr>
              <w:snapToGrid w:val="0"/>
              <w:ind w:left="0" w:firstLine="0" w:firstLineChars="0"/>
              <w:contextualSpacing/>
              <w:rPr>
                <w:rFonts w:ascii="宋体" w:hAnsi="宋体" w:cs="宋体"/>
              </w:rPr>
            </w:pPr>
            <w:r>
              <w:rPr>
                <w:rFonts w:hint="eastAsia" w:ascii="宋体" w:hAnsi="宋体" w:cs="宋体"/>
              </w:rPr>
              <w:t>实时统计当日挂号检查单总数、已完成检查单、待完成检查单</w:t>
            </w:r>
          </w:p>
          <w:p w14:paraId="6E980309">
            <w:pPr>
              <w:pStyle w:val="23"/>
              <w:numPr>
                <w:ilvl w:val="0"/>
                <w:numId w:val="13"/>
              </w:numPr>
              <w:snapToGrid w:val="0"/>
              <w:ind w:left="0" w:firstLine="0" w:firstLineChars="0"/>
              <w:contextualSpacing/>
              <w:rPr>
                <w:rFonts w:ascii="宋体" w:hAnsi="宋体" w:cs="宋体"/>
              </w:rPr>
            </w:pPr>
            <w:r>
              <w:rPr>
                <w:rFonts w:hint="eastAsia" w:ascii="宋体" w:hAnsi="宋体" w:cs="宋体"/>
              </w:rPr>
              <w:t>柱状图展示当日检查单执行情况</w:t>
            </w:r>
          </w:p>
          <w:p w14:paraId="159B68CA">
            <w:pPr>
              <w:pStyle w:val="23"/>
              <w:numPr>
                <w:ilvl w:val="0"/>
                <w:numId w:val="13"/>
              </w:numPr>
              <w:snapToGrid w:val="0"/>
              <w:ind w:left="0" w:firstLine="0" w:firstLineChars="0"/>
              <w:contextualSpacing/>
              <w:rPr>
                <w:rFonts w:ascii="宋体" w:hAnsi="宋体" w:cs="宋体"/>
              </w:rPr>
            </w:pPr>
            <w:r>
              <w:rPr>
                <w:rFonts w:hint="eastAsia" w:ascii="宋体" w:hAnsi="宋体" w:cs="宋体"/>
              </w:rPr>
              <w:t>列表显示通知/论文信息，点击附件可下载</w:t>
            </w:r>
          </w:p>
          <w:p w14:paraId="717B4C2B">
            <w:pPr>
              <w:pStyle w:val="23"/>
              <w:numPr>
                <w:ilvl w:val="0"/>
                <w:numId w:val="13"/>
              </w:numPr>
              <w:snapToGrid w:val="0"/>
              <w:ind w:left="0" w:firstLine="0" w:firstLineChars="0"/>
              <w:contextualSpacing/>
              <w:rPr>
                <w:rFonts w:ascii="宋体" w:hAnsi="宋体" w:cs="宋体"/>
              </w:rPr>
            </w:pPr>
            <w:r>
              <w:rPr>
                <w:rFonts w:hint="eastAsia" w:ascii="宋体" w:hAnsi="宋体" w:cs="宋体"/>
              </w:rPr>
              <w:t>在页面右上方设置退出登录按钮，提供重置密码功能</w:t>
            </w:r>
          </w:p>
        </w:tc>
      </w:tr>
      <w:tr w14:paraId="73F0A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restart"/>
            <w:vAlign w:val="center"/>
          </w:tcPr>
          <w:p w14:paraId="62CB2C63">
            <w:pPr>
              <w:jc w:val="center"/>
              <w:rPr>
                <w:rFonts w:ascii="宋体" w:hAnsi="宋体" w:cs="宋体"/>
              </w:rPr>
            </w:pPr>
            <w:r>
              <w:rPr>
                <w:rFonts w:hint="eastAsia" w:ascii="宋体" w:hAnsi="宋体" w:cs="宋体"/>
              </w:rPr>
              <w:t>3</w:t>
            </w:r>
          </w:p>
        </w:tc>
        <w:tc>
          <w:tcPr>
            <w:tcW w:w="1092" w:type="dxa"/>
            <w:vMerge w:val="restart"/>
            <w:vAlign w:val="center"/>
          </w:tcPr>
          <w:p w14:paraId="4C596F47">
            <w:pPr>
              <w:rPr>
                <w:rFonts w:ascii="宋体" w:hAnsi="宋体" w:cs="宋体"/>
              </w:rPr>
            </w:pPr>
            <w:r>
              <w:rPr>
                <w:rFonts w:hint="eastAsia" w:ascii="宋体" w:hAnsi="宋体" w:cs="宋体"/>
              </w:rPr>
              <w:t>检查工作站</w:t>
            </w:r>
          </w:p>
        </w:tc>
        <w:tc>
          <w:tcPr>
            <w:tcW w:w="1194" w:type="dxa"/>
            <w:vAlign w:val="center"/>
          </w:tcPr>
          <w:p w14:paraId="6767DB73">
            <w:pPr>
              <w:rPr>
                <w:rFonts w:ascii="宋体" w:hAnsi="宋体" w:cs="宋体"/>
              </w:rPr>
            </w:pPr>
            <w:r>
              <w:rPr>
                <w:rFonts w:hint="eastAsia" w:ascii="宋体" w:hAnsi="宋体" w:cs="宋体"/>
              </w:rPr>
              <w:t>待检患者</w:t>
            </w:r>
          </w:p>
        </w:tc>
        <w:tc>
          <w:tcPr>
            <w:tcW w:w="5444" w:type="dxa"/>
            <w:vAlign w:val="center"/>
          </w:tcPr>
          <w:p w14:paraId="7047A2EF">
            <w:pPr>
              <w:pStyle w:val="23"/>
              <w:numPr>
                <w:ilvl w:val="0"/>
                <w:numId w:val="14"/>
              </w:numPr>
              <w:snapToGrid w:val="0"/>
              <w:ind w:left="0" w:firstLine="0" w:firstLineChars="0"/>
              <w:contextualSpacing/>
              <w:rPr>
                <w:rFonts w:ascii="宋体" w:hAnsi="宋体" w:cs="宋体"/>
              </w:rPr>
            </w:pPr>
            <w:r>
              <w:rPr>
                <w:rFonts w:hint="eastAsia" w:ascii="宋体" w:hAnsi="宋体" w:cs="宋体"/>
              </w:rPr>
              <w:t>按照检查单申请时间排序，显示个人用户名下配置的检查项目中已开眼科检查项目的待检患者列表，包括患者基本信息、申请的检查项目名称、眼别、申请时间、缴费状态等</w:t>
            </w:r>
          </w:p>
          <w:p w14:paraId="1CCE7FA0">
            <w:pPr>
              <w:pStyle w:val="23"/>
              <w:numPr>
                <w:ilvl w:val="0"/>
                <w:numId w:val="14"/>
              </w:numPr>
              <w:snapToGrid w:val="0"/>
              <w:ind w:left="0" w:firstLine="0" w:firstLineChars="0"/>
              <w:contextualSpacing/>
              <w:rPr>
                <w:rFonts w:ascii="宋体" w:hAnsi="宋体" w:cs="宋体"/>
              </w:rPr>
            </w:pPr>
            <w:r>
              <w:rPr>
                <w:rFonts w:hint="eastAsia" w:ascii="宋体" w:hAnsi="宋体" w:cs="宋体"/>
              </w:rPr>
              <w:t>选中患者后</w:t>
            </w:r>
            <w:r>
              <w:rPr>
                <w:rFonts w:hint="eastAsia" w:ascii="宋体" w:hAnsi="宋体" w:cs="宋体"/>
                <w:lang w:val="en-US" w:eastAsia="zh-CN"/>
              </w:rPr>
              <w:t>支持通过HIS接口</w:t>
            </w:r>
            <w:r>
              <w:rPr>
                <w:rFonts w:hint="eastAsia" w:ascii="宋体" w:hAnsi="宋体" w:cs="宋体"/>
              </w:rPr>
              <w:t>读取显示当日医生的电子病历内容，可进行报告书写，可手动导入患者检查后的影像资料</w:t>
            </w:r>
          </w:p>
          <w:p w14:paraId="34E520C1">
            <w:pPr>
              <w:pStyle w:val="23"/>
              <w:numPr>
                <w:ilvl w:val="0"/>
                <w:numId w:val="14"/>
              </w:numPr>
              <w:snapToGrid w:val="0"/>
              <w:ind w:left="0" w:firstLine="0" w:firstLineChars="0"/>
              <w:contextualSpacing/>
              <w:rPr>
                <w:rFonts w:ascii="宋体" w:hAnsi="宋体" w:cs="宋体"/>
              </w:rPr>
            </w:pPr>
            <w:r>
              <w:rPr>
                <w:rFonts w:hint="eastAsia" w:ascii="宋体" w:hAnsi="宋体" w:cs="宋体"/>
              </w:rPr>
              <w:t>待检患者完成影像检查后，系统自动将检查医生筛选后保存在检查设备上的图像或打印的图像报告按程序规则对应上传到服务器指定的路径下统一管理</w:t>
            </w:r>
          </w:p>
          <w:p w14:paraId="1C44E6CC">
            <w:pPr>
              <w:pStyle w:val="23"/>
              <w:numPr>
                <w:ilvl w:val="0"/>
                <w:numId w:val="14"/>
              </w:numPr>
              <w:snapToGrid w:val="0"/>
              <w:ind w:left="0" w:firstLine="0" w:firstLineChars="0"/>
              <w:contextualSpacing/>
              <w:rPr>
                <w:rFonts w:ascii="宋体" w:hAnsi="宋体" w:cs="宋体"/>
              </w:rPr>
            </w:pPr>
            <w:r>
              <w:rPr>
                <w:rFonts w:hint="eastAsia" w:ascii="宋体" w:hAnsi="宋体" w:cs="宋体"/>
              </w:rPr>
              <w:t>页面设置眼科所有检查项目名称下拉列表，实现查看单一检查项目的患者列表，提供单一条件查询和多条件组合的高级查询功能</w:t>
            </w:r>
          </w:p>
        </w:tc>
      </w:tr>
      <w:tr w14:paraId="13CE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44CCBC3D">
            <w:pPr>
              <w:jc w:val="center"/>
              <w:rPr>
                <w:rFonts w:ascii="宋体" w:hAnsi="宋体" w:cs="宋体"/>
              </w:rPr>
            </w:pPr>
          </w:p>
        </w:tc>
        <w:tc>
          <w:tcPr>
            <w:tcW w:w="1092" w:type="dxa"/>
            <w:vMerge w:val="continue"/>
            <w:vAlign w:val="center"/>
          </w:tcPr>
          <w:p w14:paraId="52DBEBD8">
            <w:pPr>
              <w:rPr>
                <w:rFonts w:ascii="宋体" w:hAnsi="宋体" w:cs="宋体"/>
              </w:rPr>
            </w:pPr>
          </w:p>
        </w:tc>
        <w:tc>
          <w:tcPr>
            <w:tcW w:w="1194" w:type="dxa"/>
            <w:vAlign w:val="center"/>
          </w:tcPr>
          <w:p w14:paraId="2415842A">
            <w:pPr>
              <w:rPr>
                <w:rFonts w:ascii="宋体" w:hAnsi="宋体" w:cs="宋体"/>
              </w:rPr>
            </w:pPr>
            <w:r>
              <w:rPr>
                <w:rFonts w:hint="eastAsia" w:ascii="宋体" w:hAnsi="宋体" w:cs="宋体"/>
              </w:rPr>
              <w:t>已检患者</w:t>
            </w:r>
          </w:p>
        </w:tc>
        <w:tc>
          <w:tcPr>
            <w:tcW w:w="5444" w:type="dxa"/>
            <w:vAlign w:val="center"/>
          </w:tcPr>
          <w:p w14:paraId="18D2998C">
            <w:pPr>
              <w:pStyle w:val="23"/>
              <w:numPr>
                <w:ilvl w:val="0"/>
                <w:numId w:val="15"/>
              </w:numPr>
              <w:snapToGrid w:val="0"/>
              <w:ind w:left="0" w:firstLine="0" w:firstLineChars="0"/>
              <w:contextualSpacing/>
              <w:rPr>
                <w:rFonts w:ascii="宋体" w:hAnsi="宋体" w:cs="宋体"/>
              </w:rPr>
            </w:pPr>
            <w:r>
              <w:rPr>
                <w:rFonts w:hint="eastAsia" w:ascii="宋体" w:hAnsi="宋体" w:cs="宋体"/>
              </w:rPr>
              <w:t>按照检查单完成时间排序，显示已出具检查项目文字报告的已检患者列表，包括患者基本信息、申请的检查项目名称、眼别、申请时间、检查时间、检查单完成状态等</w:t>
            </w:r>
          </w:p>
          <w:p w14:paraId="129E9459">
            <w:pPr>
              <w:pStyle w:val="23"/>
              <w:numPr>
                <w:ilvl w:val="0"/>
                <w:numId w:val="15"/>
              </w:numPr>
              <w:snapToGrid w:val="0"/>
              <w:ind w:left="0" w:firstLine="0" w:firstLineChars="0"/>
              <w:contextualSpacing/>
              <w:rPr>
                <w:rFonts w:ascii="宋体" w:hAnsi="宋体" w:cs="宋体"/>
              </w:rPr>
            </w:pPr>
            <w:r>
              <w:rPr>
                <w:rFonts w:hint="eastAsia" w:ascii="宋体" w:hAnsi="宋体" w:cs="宋体"/>
              </w:rPr>
              <w:t>选中患者后可查看已出的文字报告内容和成功上传的影像资料，检查医生可修改本人当天的报告内容，可手动补传患者检查后未自动/手动导入的影像资料</w:t>
            </w:r>
          </w:p>
          <w:p w14:paraId="4174CBE8">
            <w:pPr>
              <w:pStyle w:val="23"/>
              <w:numPr>
                <w:ilvl w:val="0"/>
                <w:numId w:val="15"/>
              </w:numPr>
              <w:snapToGrid w:val="0"/>
              <w:ind w:left="0" w:firstLine="0" w:firstLineChars="0"/>
              <w:contextualSpacing/>
              <w:rPr>
                <w:rFonts w:ascii="宋体" w:hAnsi="宋体" w:cs="宋体"/>
              </w:rPr>
            </w:pPr>
            <w:r>
              <w:rPr>
                <w:rFonts w:hint="eastAsia" w:ascii="宋体" w:hAnsi="宋体" w:cs="宋体"/>
              </w:rPr>
              <w:t>页面设置眼科所有检查项目名称下拉列表，实现查看单一检查项目的患者列表，提供单一条件查询和多条件组合的高级查询功能</w:t>
            </w:r>
          </w:p>
        </w:tc>
      </w:tr>
      <w:tr w14:paraId="50346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483807B6">
            <w:pPr>
              <w:jc w:val="center"/>
              <w:rPr>
                <w:rFonts w:ascii="宋体" w:hAnsi="宋体" w:cs="宋体"/>
              </w:rPr>
            </w:pPr>
          </w:p>
        </w:tc>
        <w:tc>
          <w:tcPr>
            <w:tcW w:w="1092" w:type="dxa"/>
            <w:vMerge w:val="continue"/>
            <w:vAlign w:val="center"/>
          </w:tcPr>
          <w:p w14:paraId="0ACBFBBA">
            <w:pPr>
              <w:rPr>
                <w:rFonts w:ascii="宋体" w:hAnsi="宋体" w:cs="宋体"/>
              </w:rPr>
            </w:pPr>
          </w:p>
        </w:tc>
        <w:tc>
          <w:tcPr>
            <w:tcW w:w="1194" w:type="dxa"/>
            <w:vAlign w:val="center"/>
          </w:tcPr>
          <w:p w14:paraId="27B1F39C">
            <w:pPr>
              <w:rPr>
                <w:rFonts w:ascii="宋体" w:hAnsi="宋体" w:cs="宋体"/>
              </w:rPr>
            </w:pPr>
            <w:r>
              <w:rPr>
                <w:rFonts w:hint="eastAsia" w:ascii="宋体" w:hAnsi="宋体" w:cs="宋体"/>
              </w:rPr>
              <w:t>未出报告</w:t>
            </w:r>
          </w:p>
        </w:tc>
        <w:tc>
          <w:tcPr>
            <w:tcW w:w="5444" w:type="dxa"/>
            <w:vAlign w:val="center"/>
          </w:tcPr>
          <w:p w14:paraId="5AEA6BAD">
            <w:pPr>
              <w:rPr>
                <w:rFonts w:ascii="宋体" w:hAnsi="宋体" w:cs="宋体"/>
              </w:rPr>
            </w:pPr>
            <w:r>
              <w:rPr>
                <w:rFonts w:hint="eastAsia" w:ascii="宋体" w:hAnsi="宋体" w:cs="宋体"/>
              </w:rPr>
              <w:t>根据条件查询未出报告（没有填写文字结果）患者选择对应患者双击进入报告编辑页面，包含以下功能</w:t>
            </w:r>
          </w:p>
          <w:p w14:paraId="201320C5">
            <w:pPr>
              <w:pStyle w:val="23"/>
              <w:numPr>
                <w:ilvl w:val="0"/>
                <w:numId w:val="16"/>
              </w:numPr>
              <w:snapToGrid w:val="0"/>
              <w:ind w:left="0" w:firstLine="0" w:firstLineChars="0"/>
              <w:contextualSpacing/>
              <w:rPr>
                <w:rFonts w:ascii="宋体" w:hAnsi="宋体" w:cs="宋体"/>
              </w:rPr>
            </w:pPr>
            <w:r>
              <w:rPr>
                <w:rFonts w:hint="eastAsia" w:ascii="宋体" w:hAnsi="宋体" w:cs="宋体"/>
              </w:rPr>
              <w:t>填写报告内容,保存与打印</w:t>
            </w:r>
          </w:p>
          <w:p w14:paraId="6CAFB893">
            <w:pPr>
              <w:pStyle w:val="23"/>
              <w:numPr>
                <w:ilvl w:val="0"/>
                <w:numId w:val="16"/>
              </w:numPr>
              <w:snapToGrid w:val="0"/>
              <w:ind w:left="0" w:firstLine="0" w:firstLineChars="0"/>
              <w:contextualSpacing/>
              <w:rPr>
                <w:rFonts w:ascii="宋体" w:hAnsi="宋体" w:cs="宋体"/>
              </w:rPr>
            </w:pPr>
            <w:r>
              <w:rPr>
                <w:rFonts w:hint="eastAsia" w:ascii="宋体" w:hAnsi="宋体" w:cs="宋体"/>
              </w:rPr>
              <w:t>查看同一检查项目的历史报告</w:t>
            </w:r>
          </w:p>
          <w:p w14:paraId="176C0E9A">
            <w:pPr>
              <w:pStyle w:val="23"/>
              <w:numPr>
                <w:ilvl w:val="0"/>
                <w:numId w:val="16"/>
              </w:numPr>
              <w:snapToGrid w:val="0"/>
              <w:ind w:left="0" w:firstLine="0" w:firstLineChars="0"/>
              <w:contextualSpacing/>
              <w:rPr>
                <w:rFonts w:ascii="宋体" w:hAnsi="宋体" w:cs="宋体"/>
              </w:rPr>
            </w:pPr>
            <w:r>
              <w:rPr>
                <w:rFonts w:hint="eastAsia" w:ascii="宋体" w:hAnsi="宋体" w:cs="宋体"/>
              </w:rPr>
              <w:t>查看同一检查项目图片，按时间排序</w:t>
            </w:r>
          </w:p>
          <w:p w14:paraId="47EF2707">
            <w:pPr>
              <w:pStyle w:val="23"/>
              <w:numPr>
                <w:ilvl w:val="0"/>
                <w:numId w:val="16"/>
              </w:numPr>
              <w:snapToGrid w:val="0"/>
              <w:ind w:left="0" w:firstLine="0" w:firstLineChars="0"/>
              <w:contextualSpacing/>
              <w:rPr>
                <w:rFonts w:ascii="宋体" w:hAnsi="宋体" w:cs="宋体"/>
              </w:rPr>
            </w:pPr>
            <w:r>
              <w:rPr>
                <w:rFonts w:hint="eastAsia" w:ascii="宋体" w:hAnsi="宋体" w:cs="宋体"/>
              </w:rPr>
              <w:t>导出同一检查图片，导出该病人所有图片</w:t>
            </w:r>
          </w:p>
          <w:p w14:paraId="4E04A9E8">
            <w:pPr>
              <w:pStyle w:val="23"/>
              <w:numPr>
                <w:ilvl w:val="0"/>
                <w:numId w:val="16"/>
              </w:numPr>
              <w:snapToGrid w:val="0"/>
              <w:ind w:left="0" w:firstLine="0" w:firstLineChars="0"/>
              <w:contextualSpacing/>
              <w:rPr>
                <w:rFonts w:ascii="宋体" w:hAnsi="宋体" w:cs="宋体"/>
              </w:rPr>
            </w:pPr>
            <w:r>
              <w:rPr>
                <w:rFonts w:hint="eastAsia" w:ascii="宋体" w:hAnsi="宋体" w:cs="宋体"/>
              </w:rPr>
              <w:t>查看门诊病历</w:t>
            </w:r>
          </w:p>
        </w:tc>
      </w:tr>
      <w:tr w14:paraId="48FEA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39AAEB2B">
            <w:pPr>
              <w:jc w:val="center"/>
              <w:rPr>
                <w:rFonts w:ascii="宋体" w:hAnsi="宋体" w:cs="宋体"/>
              </w:rPr>
            </w:pPr>
          </w:p>
        </w:tc>
        <w:tc>
          <w:tcPr>
            <w:tcW w:w="1092" w:type="dxa"/>
            <w:vMerge w:val="continue"/>
            <w:vAlign w:val="center"/>
          </w:tcPr>
          <w:p w14:paraId="0986F1CC">
            <w:pPr>
              <w:rPr>
                <w:rFonts w:ascii="宋体" w:hAnsi="宋体" w:cs="宋体"/>
              </w:rPr>
            </w:pPr>
          </w:p>
        </w:tc>
        <w:tc>
          <w:tcPr>
            <w:tcW w:w="1194" w:type="dxa"/>
            <w:vAlign w:val="center"/>
          </w:tcPr>
          <w:p w14:paraId="62D8BE52">
            <w:pPr>
              <w:rPr>
                <w:rFonts w:ascii="宋体" w:hAnsi="宋体" w:cs="宋体"/>
              </w:rPr>
            </w:pPr>
            <w:r>
              <w:rPr>
                <w:rFonts w:hint="eastAsia" w:ascii="宋体" w:hAnsi="宋体" w:cs="宋体"/>
              </w:rPr>
              <w:t>已出报告</w:t>
            </w:r>
          </w:p>
        </w:tc>
        <w:tc>
          <w:tcPr>
            <w:tcW w:w="5444" w:type="dxa"/>
            <w:vAlign w:val="center"/>
          </w:tcPr>
          <w:p w14:paraId="533E646D">
            <w:pPr>
              <w:rPr>
                <w:rFonts w:ascii="宋体" w:hAnsi="宋体" w:cs="宋体"/>
              </w:rPr>
            </w:pPr>
            <w:r>
              <w:rPr>
                <w:rFonts w:hint="eastAsia" w:ascii="宋体" w:hAnsi="宋体" w:cs="宋体"/>
              </w:rPr>
              <w:t>根据条件查询已出报告患者，选择对应患者双击进入报告编辑页面，只有当天的报告才能修改，包含以下内容：</w:t>
            </w:r>
          </w:p>
          <w:p w14:paraId="28D7A33E">
            <w:pPr>
              <w:pStyle w:val="23"/>
              <w:numPr>
                <w:ilvl w:val="0"/>
                <w:numId w:val="17"/>
              </w:numPr>
              <w:snapToGrid w:val="0"/>
              <w:ind w:left="0" w:firstLine="0" w:firstLineChars="0"/>
              <w:contextualSpacing/>
              <w:rPr>
                <w:rFonts w:ascii="宋体" w:hAnsi="宋体" w:cs="宋体"/>
              </w:rPr>
            </w:pPr>
            <w:r>
              <w:rPr>
                <w:rFonts w:hint="eastAsia" w:ascii="宋体" w:hAnsi="宋体" w:cs="宋体"/>
              </w:rPr>
              <w:t>填写报告内容,保存与打印</w:t>
            </w:r>
          </w:p>
          <w:p w14:paraId="392E22D7">
            <w:pPr>
              <w:pStyle w:val="23"/>
              <w:numPr>
                <w:ilvl w:val="0"/>
                <w:numId w:val="17"/>
              </w:numPr>
              <w:snapToGrid w:val="0"/>
              <w:ind w:left="0" w:firstLine="0" w:firstLineChars="0"/>
              <w:contextualSpacing/>
              <w:rPr>
                <w:rFonts w:ascii="宋体" w:hAnsi="宋体" w:cs="宋体"/>
              </w:rPr>
            </w:pPr>
            <w:r>
              <w:rPr>
                <w:rFonts w:hint="eastAsia" w:ascii="宋体" w:hAnsi="宋体" w:cs="宋体"/>
              </w:rPr>
              <w:t>查看同一检查项目的历史报告</w:t>
            </w:r>
          </w:p>
          <w:p w14:paraId="6AB31C5B">
            <w:pPr>
              <w:pStyle w:val="23"/>
              <w:numPr>
                <w:ilvl w:val="0"/>
                <w:numId w:val="17"/>
              </w:numPr>
              <w:snapToGrid w:val="0"/>
              <w:ind w:left="0" w:firstLine="0" w:firstLineChars="0"/>
              <w:contextualSpacing/>
              <w:rPr>
                <w:rFonts w:ascii="宋体" w:hAnsi="宋体" w:cs="宋体"/>
              </w:rPr>
            </w:pPr>
            <w:r>
              <w:rPr>
                <w:rFonts w:hint="eastAsia" w:ascii="宋体" w:hAnsi="宋体" w:cs="宋体"/>
              </w:rPr>
              <w:t>查看同一检查项目图片，按时间排序</w:t>
            </w:r>
          </w:p>
          <w:p w14:paraId="415CEC8F">
            <w:pPr>
              <w:pStyle w:val="23"/>
              <w:numPr>
                <w:ilvl w:val="0"/>
                <w:numId w:val="17"/>
              </w:numPr>
              <w:snapToGrid w:val="0"/>
              <w:ind w:left="0" w:firstLine="0" w:firstLineChars="0"/>
              <w:contextualSpacing/>
              <w:rPr>
                <w:rFonts w:ascii="宋体" w:hAnsi="宋体" w:cs="宋体"/>
              </w:rPr>
            </w:pPr>
            <w:r>
              <w:rPr>
                <w:rFonts w:hint="eastAsia" w:ascii="宋体" w:hAnsi="宋体" w:cs="宋体"/>
              </w:rPr>
              <w:t>导出同一检查图片，导出该病人所有图片</w:t>
            </w:r>
          </w:p>
          <w:p w14:paraId="5FE1F8D7">
            <w:pPr>
              <w:pStyle w:val="23"/>
              <w:numPr>
                <w:ilvl w:val="0"/>
                <w:numId w:val="17"/>
              </w:numPr>
              <w:snapToGrid w:val="0"/>
              <w:ind w:left="0" w:firstLine="0" w:firstLineChars="0"/>
              <w:contextualSpacing/>
              <w:rPr>
                <w:rFonts w:ascii="宋体" w:hAnsi="宋体" w:cs="宋体"/>
              </w:rPr>
            </w:pPr>
            <w:r>
              <w:rPr>
                <w:rFonts w:hint="eastAsia" w:ascii="宋体" w:hAnsi="宋体" w:cs="宋体"/>
              </w:rPr>
              <w:t>查看门诊病历</w:t>
            </w:r>
          </w:p>
        </w:tc>
      </w:tr>
      <w:tr w14:paraId="500F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50F2D2C4">
            <w:pPr>
              <w:jc w:val="center"/>
              <w:rPr>
                <w:rFonts w:ascii="宋体" w:hAnsi="宋体" w:cs="宋体"/>
              </w:rPr>
            </w:pPr>
          </w:p>
        </w:tc>
        <w:tc>
          <w:tcPr>
            <w:tcW w:w="1092" w:type="dxa"/>
            <w:vMerge w:val="continue"/>
            <w:vAlign w:val="center"/>
          </w:tcPr>
          <w:p w14:paraId="1DBB6E7D">
            <w:pPr>
              <w:rPr>
                <w:rFonts w:ascii="宋体" w:hAnsi="宋体" w:cs="宋体"/>
              </w:rPr>
            </w:pPr>
          </w:p>
        </w:tc>
        <w:tc>
          <w:tcPr>
            <w:tcW w:w="1194" w:type="dxa"/>
            <w:vAlign w:val="center"/>
          </w:tcPr>
          <w:p w14:paraId="1F3BC145">
            <w:pPr>
              <w:rPr>
                <w:rFonts w:ascii="宋体" w:hAnsi="宋体" w:cs="宋体"/>
              </w:rPr>
            </w:pPr>
            <w:r>
              <w:rPr>
                <w:rFonts w:hint="eastAsia" w:ascii="宋体" w:hAnsi="宋体" w:cs="宋体"/>
              </w:rPr>
              <w:t>治疗患者</w:t>
            </w:r>
          </w:p>
        </w:tc>
        <w:tc>
          <w:tcPr>
            <w:tcW w:w="5444" w:type="dxa"/>
            <w:vAlign w:val="center"/>
          </w:tcPr>
          <w:p w14:paraId="2668514B">
            <w:pPr>
              <w:pStyle w:val="23"/>
              <w:numPr>
                <w:ilvl w:val="0"/>
                <w:numId w:val="18"/>
              </w:numPr>
              <w:snapToGrid w:val="0"/>
              <w:ind w:left="0" w:firstLine="0" w:firstLineChars="0"/>
              <w:contextualSpacing/>
              <w:rPr>
                <w:rFonts w:ascii="宋体" w:hAnsi="宋体" w:cs="宋体"/>
              </w:rPr>
            </w:pPr>
            <w:r>
              <w:rPr>
                <w:rFonts w:hint="eastAsia" w:ascii="宋体" w:hAnsi="宋体" w:cs="宋体"/>
              </w:rPr>
              <w:t>眼科开单治疗项目患者列表展示，可根据患者、姓名、  治疗项目、治疗医生、治疗时间等条件查询</w:t>
            </w:r>
          </w:p>
          <w:p w14:paraId="6153761C">
            <w:pPr>
              <w:pStyle w:val="23"/>
              <w:numPr>
                <w:ilvl w:val="0"/>
                <w:numId w:val="18"/>
              </w:numPr>
              <w:snapToGrid w:val="0"/>
              <w:ind w:left="0" w:firstLine="0" w:firstLineChars="0"/>
              <w:contextualSpacing/>
              <w:rPr>
                <w:rFonts w:ascii="宋体" w:hAnsi="宋体" w:cs="宋体"/>
              </w:rPr>
            </w:pPr>
            <w:r>
              <w:rPr>
                <w:rFonts w:hint="eastAsia" w:ascii="宋体" w:hAnsi="宋体" w:cs="宋体"/>
              </w:rPr>
              <w:t>实现对治疗患者治疗结果、对应治疗医生记录和打印</w:t>
            </w:r>
          </w:p>
        </w:tc>
      </w:tr>
      <w:tr w14:paraId="5E9D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3156A930">
            <w:pPr>
              <w:jc w:val="center"/>
              <w:rPr>
                <w:rFonts w:ascii="宋体" w:hAnsi="宋体" w:cs="宋体"/>
              </w:rPr>
            </w:pPr>
          </w:p>
        </w:tc>
        <w:tc>
          <w:tcPr>
            <w:tcW w:w="1092" w:type="dxa"/>
            <w:vMerge w:val="continue"/>
            <w:vAlign w:val="center"/>
          </w:tcPr>
          <w:p w14:paraId="02A0E459">
            <w:pPr>
              <w:rPr>
                <w:rFonts w:ascii="宋体" w:hAnsi="宋体" w:cs="宋体"/>
              </w:rPr>
            </w:pPr>
          </w:p>
        </w:tc>
        <w:tc>
          <w:tcPr>
            <w:tcW w:w="1194" w:type="dxa"/>
            <w:vAlign w:val="center"/>
          </w:tcPr>
          <w:p w14:paraId="0E857014">
            <w:pPr>
              <w:rPr>
                <w:rFonts w:ascii="宋体" w:hAnsi="宋体" w:cs="宋体"/>
              </w:rPr>
            </w:pPr>
            <w:r>
              <w:rPr>
                <w:rFonts w:hint="eastAsia" w:ascii="宋体" w:hAnsi="宋体" w:cs="宋体"/>
              </w:rPr>
              <w:t>检查单管理</w:t>
            </w:r>
          </w:p>
        </w:tc>
        <w:tc>
          <w:tcPr>
            <w:tcW w:w="5444" w:type="dxa"/>
            <w:vAlign w:val="center"/>
          </w:tcPr>
          <w:p w14:paraId="6DAD1033">
            <w:pPr>
              <w:pStyle w:val="23"/>
              <w:numPr>
                <w:ilvl w:val="0"/>
                <w:numId w:val="0"/>
              </w:numPr>
              <w:snapToGrid w:val="0"/>
              <w:ind w:left="0" w:leftChars="0" w:firstLine="0" w:firstLineChars="0"/>
              <w:contextualSpacing/>
              <w:rPr>
                <w:rFonts w:ascii="宋体" w:hAnsi="宋体" w:cs="宋体"/>
              </w:rPr>
            </w:pPr>
            <w:r>
              <w:rPr>
                <w:rFonts w:hint="default" w:ascii="宋体" w:hAnsi="宋体" w:eastAsia="宋体" w:cs="宋体"/>
                <w:kern w:val="2"/>
                <w:sz w:val="24"/>
                <w:szCs w:val="24"/>
                <w:lang w:val="en-US" w:eastAsia="zh-CN" w:bidi="ar-SA"/>
                <w14:ligatures w14:val="none"/>
              </w:rPr>
              <w:t>1、</w:t>
            </w:r>
            <w:r>
              <w:rPr>
                <w:rFonts w:hint="eastAsia" w:ascii="宋体" w:hAnsi="宋体" w:cs="宋体"/>
              </w:rPr>
              <w:t>检查单登记，默认展示患者检查单列表/患者列表，支持固定条件查询，对于检查单异常的患者可进行已开项目的手动登记，以便于检查医生对应出电子报告</w:t>
            </w:r>
          </w:p>
          <w:p w14:paraId="19171778">
            <w:pPr>
              <w:pStyle w:val="23"/>
              <w:numPr>
                <w:ilvl w:val="0"/>
                <w:numId w:val="0"/>
              </w:numPr>
              <w:snapToGrid w:val="0"/>
              <w:ind w:left="0" w:leftChars="0" w:firstLine="0" w:firstLineChars="0"/>
              <w:contextualSpacing/>
              <w:rPr>
                <w:rFonts w:ascii="宋体" w:hAnsi="宋体" w:cs="宋体"/>
              </w:rPr>
            </w:pPr>
            <w:r>
              <w:rPr>
                <w:rFonts w:hint="default" w:ascii="宋体" w:hAnsi="宋体" w:eastAsia="宋体" w:cs="宋体"/>
                <w:kern w:val="2"/>
                <w:sz w:val="24"/>
                <w:szCs w:val="24"/>
                <w:lang w:val="en-US" w:eastAsia="zh-CN" w:bidi="ar-SA"/>
                <w14:ligatures w14:val="none"/>
              </w:rPr>
              <w:t>2、</w:t>
            </w:r>
            <w:r>
              <w:rPr>
                <w:rFonts w:hint="eastAsia" w:ascii="宋体" w:hAnsi="宋体" w:cs="宋体"/>
              </w:rPr>
              <w:t>删除检查单，对开放删除权限的用户，选择对应检查单，点击删除确认</w:t>
            </w:r>
          </w:p>
        </w:tc>
      </w:tr>
      <w:tr w14:paraId="25F8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19D7E137">
            <w:pPr>
              <w:jc w:val="center"/>
              <w:rPr>
                <w:rFonts w:ascii="宋体" w:hAnsi="宋体" w:cs="宋体"/>
              </w:rPr>
            </w:pPr>
          </w:p>
        </w:tc>
        <w:tc>
          <w:tcPr>
            <w:tcW w:w="1092" w:type="dxa"/>
            <w:vMerge w:val="continue"/>
            <w:vAlign w:val="center"/>
          </w:tcPr>
          <w:p w14:paraId="26A212F6">
            <w:pPr>
              <w:rPr>
                <w:rFonts w:ascii="宋体" w:hAnsi="宋体" w:cs="宋体"/>
              </w:rPr>
            </w:pPr>
          </w:p>
        </w:tc>
        <w:tc>
          <w:tcPr>
            <w:tcW w:w="1194" w:type="dxa"/>
            <w:vAlign w:val="center"/>
          </w:tcPr>
          <w:p w14:paraId="6E6550E7">
            <w:pPr>
              <w:rPr>
                <w:rFonts w:ascii="宋体" w:hAnsi="宋体" w:cs="宋体"/>
              </w:rPr>
            </w:pPr>
            <w:r>
              <w:rPr>
                <w:rFonts w:hint="eastAsia" w:ascii="宋体" w:hAnsi="宋体" w:cs="宋体"/>
              </w:rPr>
              <w:t>既往报告</w:t>
            </w:r>
          </w:p>
        </w:tc>
        <w:tc>
          <w:tcPr>
            <w:tcW w:w="5444" w:type="dxa"/>
            <w:vAlign w:val="center"/>
          </w:tcPr>
          <w:p w14:paraId="68FECC43">
            <w:pPr>
              <w:rPr>
                <w:rFonts w:ascii="宋体" w:hAnsi="宋体" w:cs="宋体"/>
              </w:rPr>
            </w:pPr>
            <w:r>
              <w:rPr>
                <w:rFonts w:hint="eastAsia" w:ascii="宋体" w:hAnsi="宋体" w:cs="宋体"/>
              </w:rPr>
              <w:t>实现眼科既往系统中眼科所有检查报告内容的查询，多次报告结果以列表显示，可按单项检查项目检索</w:t>
            </w:r>
          </w:p>
        </w:tc>
      </w:tr>
      <w:tr w14:paraId="0D6F2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294452CC">
            <w:pPr>
              <w:jc w:val="center"/>
              <w:rPr>
                <w:rFonts w:ascii="宋体" w:hAnsi="宋体" w:cs="宋体"/>
              </w:rPr>
            </w:pPr>
          </w:p>
        </w:tc>
        <w:tc>
          <w:tcPr>
            <w:tcW w:w="1092" w:type="dxa"/>
            <w:vMerge w:val="continue"/>
            <w:vAlign w:val="center"/>
          </w:tcPr>
          <w:p w14:paraId="6CE34E71">
            <w:pPr>
              <w:rPr>
                <w:rFonts w:ascii="宋体" w:hAnsi="宋体" w:cs="宋体"/>
              </w:rPr>
            </w:pPr>
          </w:p>
        </w:tc>
        <w:tc>
          <w:tcPr>
            <w:tcW w:w="1194" w:type="dxa"/>
            <w:vAlign w:val="center"/>
          </w:tcPr>
          <w:p w14:paraId="1EF4D572">
            <w:pPr>
              <w:rPr>
                <w:rFonts w:ascii="宋体" w:hAnsi="宋体" w:cs="宋体"/>
              </w:rPr>
            </w:pPr>
            <w:r>
              <w:rPr>
                <w:rFonts w:hint="eastAsia" w:ascii="宋体" w:hAnsi="宋体" w:cs="宋体"/>
              </w:rPr>
              <w:t>影像导出</w:t>
            </w:r>
          </w:p>
        </w:tc>
        <w:tc>
          <w:tcPr>
            <w:tcW w:w="5444" w:type="dxa"/>
            <w:vAlign w:val="center"/>
          </w:tcPr>
          <w:p w14:paraId="6099A1FC">
            <w:pPr>
              <w:rPr>
                <w:rFonts w:ascii="宋体" w:hAnsi="宋体" w:cs="宋体"/>
              </w:rPr>
            </w:pPr>
            <w:r>
              <w:rPr>
                <w:rFonts w:hint="eastAsia" w:ascii="宋体" w:hAnsi="宋体" w:cs="宋体"/>
              </w:rPr>
              <w:t>可按照检查单完成时间排序，显示已完成检查的所有包含影像资料项目的患者列表，选中患者可查看对应影像结果，并可进行资料导出</w:t>
            </w:r>
          </w:p>
        </w:tc>
      </w:tr>
      <w:tr w14:paraId="4C6E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restart"/>
            <w:vAlign w:val="center"/>
          </w:tcPr>
          <w:p w14:paraId="2BCD46A6">
            <w:pPr>
              <w:jc w:val="center"/>
              <w:rPr>
                <w:rFonts w:ascii="宋体" w:hAnsi="宋体" w:cs="宋体"/>
              </w:rPr>
            </w:pPr>
            <w:r>
              <w:rPr>
                <w:rFonts w:hint="eastAsia" w:ascii="宋体" w:hAnsi="宋体" w:cs="宋体"/>
              </w:rPr>
              <w:t>4</w:t>
            </w:r>
          </w:p>
        </w:tc>
        <w:tc>
          <w:tcPr>
            <w:tcW w:w="1092" w:type="dxa"/>
            <w:vMerge w:val="restart"/>
            <w:vAlign w:val="center"/>
          </w:tcPr>
          <w:p w14:paraId="6C4E2A0D">
            <w:pPr>
              <w:rPr>
                <w:rFonts w:ascii="宋体" w:hAnsi="宋体" w:cs="宋体"/>
              </w:rPr>
            </w:pPr>
            <w:r>
              <w:rPr>
                <w:rFonts w:hint="eastAsia" w:ascii="宋体" w:hAnsi="宋体" w:cs="宋体"/>
              </w:rPr>
              <w:t>模板管理</w:t>
            </w:r>
          </w:p>
        </w:tc>
        <w:tc>
          <w:tcPr>
            <w:tcW w:w="1194" w:type="dxa"/>
            <w:vAlign w:val="center"/>
          </w:tcPr>
          <w:p w14:paraId="52B9BCAE">
            <w:pPr>
              <w:rPr>
                <w:rFonts w:ascii="宋体" w:hAnsi="宋体" w:cs="宋体"/>
              </w:rPr>
            </w:pPr>
            <w:r>
              <w:rPr>
                <w:rFonts w:hint="eastAsia" w:ascii="宋体" w:hAnsi="宋体" w:cs="宋体"/>
              </w:rPr>
              <w:t>检查输入模板</w:t>
            </w:r>
          </w:p>
        </w:tc>
        <w:tc>
          <w:tcPr>
            <w:tcW w:w="5444" w:type="dxa"/>
            <w:vAlign w:val="center"/>
          </w:tcPr>
          <w:p w14:paraId="7E734C73">
            <w:pPr>
              <w:rPr>
                <w:rFonts w:ascii="宋体" w:hAnsi="宋体" w:cs="宋体"/>
              </w:rPr>
            </w:pPr>
            <w:r>
              <w:rPr>
                <w:rFonts w:hint="eastAsia" w:ascii="宋体" w:hAnsi="宋体" w:cs="宋体"/>
              </w:rPr>
              <w:t>用于眼科各项检查报告常用书写内容的模板建立，检查医生在出具相应检查项目的报告时可一键引入模板内容，并可对引入内容进行修改</w:t>
            </w:r>
          </w:p>
        </w:tc>
      </w:tr>
      <w:tr w14:paraId="4915E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1205B44D">
            <w:pPr>
              <w:jc w:val="center"/>
              <w:rPr>
                <w:rFonts w:ascii="宋体" w:hAnsi="宋体" w:cs="宋体"/>
              </w:rPr>
            </w:pPr>
          </w:p>
        </w:tc>
        <w:tc>
          <w:tcPr>
            <w:tcW w:w="1092" w:type="dxa"/>
            <w:vMerge w:val="continue"/>
            <w:vAlign w:val="center"/>
          </w:tcPr>
          <w:p w14:paraId="5FC22E8B">
            <w:pPr>
              <w:rPr>
                <w:rFonts w:ascii="宋体" w:hAnsi="宋体" w:cs="宋体"/>
              </w:rPr>
            </w:pPr>
          </w:p>
        </w:tc>
        <w:tc>
          <w:tcPr>
            <w:tcW w:w="1194" w:type="dxa"/>
            <w:vAlign w:val="center"/>
          </w:tcPr>
          <w:p w14:paraId="48AA90D6">
            <w:pPr>
              <w:rPr>
                <w:rFonts w:ascii="宋体" w:hAnsi="宋体" w:cs="宋体"/>
              </w:rPr>
            </w:pPr>
            <w:r>
              <w:rPr>
                <w:rFonts w:hint="eastAsia" w:ascii="宋体" w:hAnsi="宋体" w:cs="宋体"/>
              </w:rPr>
              <w:t>检查报告模板</w:t>
            </w:r>
          </w:p>
        </w:tc>
        <w:tc>
          <w:tcPr>
            <w:tcW w:w="5444" w:type="dxa"/>
            <w:vAlign w:val="center"/>
          </w:tcPr>
          <w:p w14:paraId="275B1760">
            <w:pPr>
              <w:rPr>
                <w:rFonts w:ascii="宋体" w:hAnsi="宋体" w:cs="宋体"/>
              </w:rPr>
            </w:pPr>
            <w:r>
              <w:rPr>
                <w:rFonts w:hint="eastAsia" w:ascii="宋体" w:hAnsi="宋体" w:cs="宋体"/>
              </w:rPr>
              <w:t>可视化的眼科各检查项目的报告模板建立，系统管理人员通过模板编辑器新建、修改模板结构、布局、内容，可复制原有相似/同类别报告模板后进行新检查项目的报告模板配置，配置完成后可直接应用于新增的检查项目</w:t>
            </w:r>
          </w:p>
        </w:tc>
      </w:tr>
      <w:tr w14:paraId="1DBF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Align w:val="center"/>
          </w:tcPr>
          <w:p w14:paraId="3C9073E1">
            <w:pPr>
              <w:jc w:val="center"/>
              <w:rPr>
                <w:rFonts w:ascii="宋体" w:hAnsi="宋体" w:cs="宋体"/>
              </w:rPr>
            </w:pPr>
            <w:r>
              <w:rPr>
                <w:rFonts w:hint="eastAsia" w:ascii="宋体" w:hAnsi="宋体" w:cs="宋体"/>
              </w:rPr>
              <w:t>5</w:t>
            </w:r>
          </w:p>
        </w:tc>
        <w:tc>
          <w:tcPr>
            <w:tcW w:w="1092" w:type="dxa"/>
            <w:vAlign w:val="center"/>
          </w:tcPr>
          <w:p w14:paraId="5E377AF9">
            <w:pPr>
              <w:rPr>
                <w:rFonts w:ascii="宋体" w:hAnsi="宋体" w:cs="宋体"/>
              </w:rPr>
            </w:pPr>
            <w:r>
              <w:rPr>
                <w:rFonts w:hint="eastAsia" w:ascii="宋体" w:hAnsi="宋体" w:cs="宋体"/>
              </w:rPr>
              <w:t>统计报表</w:t>
            </w:r>
          </w:p>
        </w:tc>
        <w:tc>
          <w:tcPr>
            <w:tcW w:w="1194" w:type="dxa"/>
            <w:vAlign w:val="center"/>
          </w:tcPr>
          <w:p w14:paraId="7C901E13">
            <w:pPr>
              <w:rPr>
                <w:rFonts w:ascii="宋体" w:hAnsi="宋体" w:cs="宋体"/>
              </w:rPr>
            </w:pPr>
            <w:r>
              <w:rPr>
                <w:rFonts w:hint="eastAsia" w:ascii="宋体" w:hAnsi="宋体" w:cs="宋体"/>
              </w:rPr>
              <w:t>检查医生工作量统计</w:t>
            </w:r>
          </w:p>
        </w:tc>
        <w:tc>
          <w:tcPr>
            <w:tcW w:w="5444" w:type="dxa"/>
            <w:vAlign w:val="center"/>
          </w:tcPr>
          <w:p w14:paraId="5922688F">
            <w:pPr>
              <w:rPr>
                <w:rFonts w:ascii="宋体" w:hAnsi="宋体" w:cs="宋体"/>
              </w:rPr>
            </w:pPr>
            <w:r>
              <w:rPr>
                <w:rFonts w:hint="eastAsia" w:ascii="宋体" w:hAnsi="宋体" w:cs="宋体"/>
              </w:rPr>
              <w:t>默认图形化显示检查医生当日和一周的各项工作数据。提供高级查询，可根据时间段、检查医生、检查项目进行数据统计，并生成报表支持导出EXCEL</w:t>
            </w:r>
          </w:p>
        </w:tc>
      </w:tr>
      <w:tr w14:paraId="52BD4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restart"/>
            <w:vAlign w:val="center"/>
          </w:tcPr>
          <w:p w14:paraId="77353266">
            <w:pPr>
              <w:jc w:val="center"/>
              <w:rPr>
                <w:rFonts w:ascii="宋体" w:hAnsi="宋体" w:cs="宋体"/>
              </w:rPr>
            </w:pPr>
            <w:r>
              <w:rPr>
                <w:rFonts w:hint="eastAsia" w:ascii="宋体" w:hAnsi="宋体" w:cs="宋体"/>
              </w:rPr>
              <w:t>6</w:t>
            </w:r>
          </w:p>
        </w:tc>
        <w:tc>
          <w:tcPr>
            <w:tcW w:w="1092" w:type="dxa"/>
            <w:vMerge w:val="restart"/>
            <w:vAlign w:val="center"/>
          </w:tcPr>
          <w:p w14:paraId="44BD46F9">
            <w:pPr>
              <w:rPr>
                <w:rFonts w:ascii="宋体" w:hAnsi="宋体" w:cs="宋体"/>
              </w:rPr>
            </w:pPr>
            <w:r>
              <w:rPr>
                <w:rFonts w:hint="eastAsia" w:ascii="宋体" w:hAnsi="宋体" w:cs="宋体"/>
              </w:rPr>
              <w:t>系统管理</w:t>
            </w:r>
          </w:p>
        </w:tc>
        <w:tc>
          <w:tcPr>
            <w:tcW w:w="1194" w:type="dxa"/>
            <w:vAlign w:val="center"/>
          </w:tcPr>
          <w:p w14:paraId="0CA30191">
            <w:pPr>
              <w:rPr>
                <w:rFonts w:ascii="宋体" w:hAnsi="宋体" w:cs="宋体"/>
              </w:rPr>
            </w:pPr>
            <w:r>
              <w:rPr>
                <w:rFonts w:hint="eastAsia" w:ascii="宋体" w:hAnsi="宋体" w:cs="宋体"/>
              </w:rPr>
              <w:t>用户管理</w:t>
            </w:r>
          </w:p>
        </w:tc>
        <w:tc>
          <w:tcPr>
            <w:tcW w:w="5444" w:type="dxa"/>
            <w:vAlign w:val="center"/>
          </w:tcPr>
          <w:p w14:paraId="0018AAE0">
            <w:pPr>
              <w:rPr>
                <w:rFonts w:ascii="宋体" w:hAnsi="宋体" w:cs="宋体"/>
              </w:rPr>
            </w:pPr>
            <w:r>
              <w:rPr>
                <w:rFonts w:hint="eastAsia" w:ascii="宋体" w:hAnsi="宋体" w:cs="宋体"/>
              </w:rPr>
              <w:t>对所有使用系统的登陆用户名统一管理，实现用户名信息查询、新增、修改、删除、修改密码、角色分配、用户检查项目配置、启用/禁用用户等功能</w:t>
            </w:r>
          </w:p>
        </w:tc>
      </w:tr>
      <w:tr w14:paraId="51C0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46BDA91B">
            <w:pPr>
              <w:jc w:val="center"/>
              <w:rPr>
                <w:rFonts w:ascii="宋体" w:hAnsi="宋体" w:cs="宋体"/>
              </w:rPr>
            </w:pPr>
          </w:p>
        </w:tc>
        <w:tc>
          <w:tcPr>
            <w:tcW w:w="1092" w:type="dxa"/>
            <w:vMerge w:val="continue"/>
            <w:vAlign w:val="center"/>
          </w:tcPr>
          <w:p w14:paraId="13D7C522">
            <w:pPr>
              <w:rPr>
                <w:rFonts w:ascii="宋体" w:hAnsi="宋体" w:cs="宋体"/>
              </w:rPr>
            </w:pPr>
          </w:p>
        </w:tc>
        <w:tc>
          <w:tcPr>
            <w:tcW w:w="1194" w:type="dxa"/>
            <w:vAlign w:val="center"/>
          </w:tcPr>
          <w:p w14:paraId="6A08691A">
            <w:pPr>
              <w:rPr>
                <w:rFonts w:ascii="宋体" w:hAnsi="宋体" w:cs="宋体"/>
              </w:rPr>
            </w:pPr>
            <w:r>
              <w:rPr>
                <w:rFonts w:hint="eastAsia" w:ascii="宋体" w:hAnsi="宋体" w:cs="宋体"/>
              </w:rPr>
              <w:t>角色管理</w:t>
            </w:r>
          </w:p>
        </w:tc>
        <w:tc>
          <w:tcPr>
            <w:tcW w:w="5444" w:type="dxa"/>
            <w:vAlign w:val="center"/>
          </w:tcPr>
          <w:p w14:paraId="5C4A5B37">
            <w:pPr>
              <w:rPr>
                <w:rFonts w:ascii="宋体" w:hAnsi="宋体" w:cs="宋体"/>
              </w:rPr>
            </w:pPr>
            <w:r>
              <w:rPr>
                <w:rFonts w:hint="eastAsia" w:ascii="宋体" w:hAnsi="宋体" w:cs="宋体"/>
              </w:rPr>
              <w:t>按照系统的功能模块配置不同的角色权限，实现角色名称的新增、修改、删除功能，对角色下的一级/二级功能模块进行细化配置</w:t>
            </w:r>
          </w:p>
        </w:tc>
      </w:tr>
      <w:tr w14:paraId="123F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380E9CC8">
            <w:pPr>
              <w:jc w:val="center"/>
              <w:rPr>
                <w:rFonts w:ascii="宋体" w:hAnsi="宋体" w:cs="宋体"/>
              </w:rPr>
            </w:pPr>
          </w:p>
        </w:tc>
        <w:tc>
          <w:tcPr>
            <w:tcW w:w="1092" w:type="dxa"/>
            <w:vMerge w:val="continue"/>
            <w:vAlign w:val="center"/>
          </w:tcPr>
          <w:p w14:paraId="4E372335">
            <w:pPr>
              <w:rPr>
                <w:rFonts w:ascii="宋体" w:hAnsi="宋体" w:cs="宋体"/>
              </w:rPr>
            </w:pPr>
          </w:p>
        </w:tc>
        <w:tc>
          <w:tcPr>
            <w:tcW w:w="1194" w:type="dxa"/>
            <w:vAlign w:val="center"/>
          </w:tcPr>
          <w:p w14:paraId="016727C7">
            <w:pPr>
              <w:rPr>
                <w:rFonts w:ascii="宋体" w:hAnsi="宋体" w:cs="宋体"/>
              </w:rPr>
            </w:pPr>
            <w:r>
              <w:rPr>
                <w:rFonts w:hint="eastAsia" w:ascii="宋体" w:hAnsi="宋体" w:cs="宋体"/>
              </w:rPr>
              <w:t>科室管理</w:t>
            </w:r>
          </w:p>
        </w:tc>
        <w:tc>
          <w:tcPr>
            <w:tcW w:w="5444" w:type="dxa"/>
            <w:vAlign w:val="center"/>
          </w:tcPr>
          <w:p w14:paraId="063E6678">
            <w:pPr>
              <w:rPr>
                <w:rFonts w:ascii="宋体" w:hAnsi="宋体" w:cs="宋体"/>
              </w:rPr>
            </w:pPr>
            <w:r>
              <w:rPr>
                <w:rFonts w:hint="eastAsia" w:ascii="宋体" w:hAnsi="宋体" w:cs="宋体"/>
              </w:rPr>
              <w:t>对医院各个业务科室及眼科部门名称、代码、位置信息等进行配维护，包含新增、修改、删除、查询功能</w:t>
            </w:r>
          </w:p>
        </w:tc>
      </w:tr>
      <w:tr w14:paraId="707D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03393C80">
            <w:pPr>
              <w:jc w:val="center"/>
              <w:rPr>
                <w:rFonts w:ascii="宋体" w:hAnsi="宋体" w:cs="宋体"/>
              </w:rPr>
            </w:pPr>
          </w:p>
        </w:tc>
        <w:tc>
          <w:tcPr>
            <w:tcW w:w="1092" w:type="dxa"/>
            <w:vMerge w:val="continue"/>
            <w:vAlign w:val="center"/>
          </w:tcPr>
          <w:p w14:paraId="7D667BF3">
            <w:pPr>
              <w:rPr>
                <w:rFonts w:ascii="宋体" w:hAnsi="宋体" w:cs="宋体"/>
              </w:rPr>
            </w:pPr>
          </w:p>
        </w:tc>
        <w:tc>
          <w:tcPr>
            <w:tcW w:w="1194" w:type="dxa"/>
            <w:vAlign w:val="center"/>
          </w:tcPr>
          <w:p w14:paraId="2B07FE27">
            <w:pPr>
              <w:rPr>
                <w:rFonts w:ascii="宋体" w:hAnsi="宋体" w:cs="宋体"/>
              </w:rPr>
            </w:pPr>
            <w:r>
              <w:rPr>
                <w:rFonts w:hint="eastAsia" w:ascii="宋体" w:hAnsi="宋体" w:cs="宋体"/>
              </w:rPr>
              <w:t>员工管理</w:t>
            </w:r>
          </w:p>
        </w:tc>
        <w:tc>
          <w:tcPr>
            <w:tcW w:w="5444" w:type="dxa"/>
            <w:vAlign w:val="center"/>
          </w:tcPr>
          <w:p w14:paraId="529357F7">
            <w:pPr>
              <w:rPr>
                <w:rFonts w:ascii="宋体" w:hAnsi="宋体" w:cs="宋体"/>
              </w:rPr>
            </w:pPr>
            <w:r>
              <w:rPr>
                <w:rFonts w:hint="eastAsia" w:ascii="宋体" w:hAnsi="宋体" w:cs="宋体"/>
              </w:rPr>
              <w:t>对科室所有员进行管理，实现个人基本信息的查询、新增、维护，设置员工在/离职状态，可统计个人工作绩效数据并导出</w:t>
            </w:r>
          </w:p>
        </w:tc>
      </w:tr>
      <w:tr w14:paraId="674B9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76D191C7">
            <w:pPr>
              <w:jc w:val="center"/>
              <w:rPr>
                <w:rFonts w:ascii="宋体" w:hAnsi="宋体" w:cs="宋体"/>
              </w:rPr>
            </w:pPr>
          </w:p>
        </w:tc>
        <w:tc>
          <w:tcPr>
            <w:tcW w:w="1092" w:type="dxa"/>
            <w:vMerge w:val="continue"/>
            <w:vAlign w:val="center"/>
          </w:tcPr>
          <w:p w14:paraId="691450CE">
            <w:pPr>
              <w:rPr>
                <w:rFonts w:ascii="宋体" w:hAnsi="宋体" w:cs="宋体"/>
              </w:rPr>
            </w:pPr>
          </w:p>
        </w:tc>
        <w:tc>
          <w:tcPr>
            <w:tcW w:w="1194" w:type="dxa"/>
            <w:vAlign w:val="center"/>
          </w:tcPr>
          <w:p w14:paraId="17576F6F">
            <w:pPr>
              <w:rPr>
                <w:rFonts w:ascii="宋体" w:hAnsi="宋体" w:cs="宋体"/>
              </w:rPr>
            </w:pPr>
            <w:r>
              <w:rPr>
                <w:rFonts w:hint="eastAsia" w:ascii="宋体" w:hAnsi="宋体" w:cs="宋体"/>
              </w:rPr>
              <w:t>通知管理</w:t>
            </w:r>
          </w:p>
        </w:tc>
        <w:tc>
          <w:tcPr>
            <w:tcW w:w="5444" w:type="dxa"/>
            <w:vAlign w:val="center"/>
          </w:tcPr>
          <w:p w14:paraId="7E316236">
            <w:pPr>
              <w:rPr>
                <w:rFonts w:ascii="宋体" w:hAnsi="宋体" w:cs="宋体"/>
              </w:rPr>
            </w:pPr>
            <w:r>
              <w:rPr>
                <w:rFonts w:hint="eastAsia" w:ascii="宋体" w:hAnsi="宋体" w:cs="宋体"/>
              </w:rPr>
              <w:t>实现科室公告、通知信息的新增、发布、修改、删除等功能</w:t>
            </w:r>
          </w:p>
          <w:p w14:paraId="654E6985">
            <w:pPr>
              <w:rPr>
                <w:rFonts w:ascii="宋体" w:hAnsi="宋体" w:cs="宋体"/>
              </w:rPr>
            </w:pPr>
            <w:r>
              <w:rPr>
                <w:rFonts w:hint="eastAsia" w:ascii="宋体" w:hAnsi="宋体" w:cs="宋体"/>
              </w:rPr>
              <w:t>支持通知内上传附件，如word、excel、</w:t>
            </w:r>
            <w:r>
              <w:rPr>
                <w:rFonts w:hint="eastAsia" w:ascii="宋体" w:hAnsi="宋体" w:cs="宋体"/>
                <w:lang w:eastAsia="zh-CN"/>
              </w:rPr>
              <w:t>PDF</w:t>
            </w:r>
            <w:r>
              <w:rPr>
                <w:rFonts w:hint="eastAsia" w:ascii="宋体" w:hAnsi="宋体" w:cs="宋体"/>
              </w:rPr>
              <w:t>文件等</w:t>
            </w:r>
          </w:p>
        </w:tc>
      </w:tr>
      <w:tr w14:paraId="0E6F6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0F15B1A6">
            <w:pPr>
              <w:jc w:val="center"/>
              <w:rPr>
                <w:rFonts w:ascii="宋体" w:hAnsi="宋体" w:cs="宋体"/>
              </w:rPr>
            </w:pPr>
          </w:p>
        </w:tc>
        <w:tc>
          <w:tcPr>
            <w:tcW w:w="1092" w:type="dxa"/>
            <w:vMerge w:val="continue"/>
            <w:vAlign w:val="center"/>
          </w:tcPr>
          <w:p w14:paraId="20791C0C">
            <w:pPr>
              <w:rPr>
                <w:rFonts w:ascii="宋体" w:hAnsi="宋体" w:cs="宋体"/>
              </w:rPr>
            </w:pPr>
          </w:p>
        </w:tc>
        <w:tc>
          <w:tcPr>
            <w:tcW w:w="1194" w:type="dxa"/>
            <w:vAlign w:val="center"/>
          </w:tcPr>
          <w:p w14:paraId="6C30CB13">
            <w:pPr>
              <w:rPr>
                <w:rFonts w:ascii="宋体" w:hAnsi="宋体" w:cs="宋体"/>
              </w:rPr>
            </w:pPr>
            <w:r>
              <w:rPr>
                <w:rFonts w:hint="eastAsia" w:ascii="宋体" w:hAnsi="宋体" w:cs="宋体"/>
              </w:rPr>
              <w:t>文章管理</w:t>
            </w:r>
          </w:p>
        </w:tc>
        <w:tc>
          <w:tcPr>
            <w:tcW w:w="5444" w:type="dxa"/>
            <w:vAlign w:val="center"/>
          </w:tcPr>
          <w:p w14:paraId="0FD1FFC7">
            <w:pPr>
              <w:rPr>
                <w:rFonts w:ascii="宋体" w:hAnsi="宋体" w:cs="宋体"/>
              </w:rPr>
            </w:pPr>
            <w:r>
              <w:rPr>
                <w:rFonts w:hint="eastAsia" w:ascii="宋体" w:hAnsi="宋体" w:cs="宋体"/>
              </w:rPr>
              <w:t>对科室人员的文章发表情况进行管理，实现已发表文章的分类录入、附件上传，分类查询、修改、删除。附件下载、信息导出等功能</w:t>
            </w:r>
          </w:p>
        </w:tc>
      </w:tr>
      <w:tr w14:paraId="6B725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069F0E4F">
            <w:pPr>
              <w:jc w:val="center"/>
              <w:rPr>
                <w:rFonts w:ascii="宋体" w:hAnsi="宋体" w:cs="宋体"/>
              </w:rPr>
            </w:pPr>
          </w:p>
        </w:tc>
        <w:tc>
          <w:tcPr>
            <w:tcW w:w="1092" w:type="dxa"/>
            <w:vMerge w:val="continue"/>
            <w:vAlign w:val="center"/>
          </w:tcPr>
          <w:p w14:paraId="5AD7FECE">
            <w:pPr>
              <w:rPr>
                <w:rFonts w:ascii="宋体" w:hAnsi="宋体" w:cs="宋体"/>
              </w:rPr>
            </w:pPr>
          </w:p>
        </w:tc>
        <w:tc>
          <w:tcPr>
            <w:tcW w:w="1194" w:type="dxa"/>
            <w:vAlign w:val="center"/>
          </w:tcPr>
          <w:p w14:paraId="20C5BE9D">
            <w:pPr>
              <w:rPr>
                <w:rFonts w:ascii="宋体" w:hAnsi="宋体" w:cs="宋体"/>
              </w:rPr>
            </w:pPr>
            <w:r>
              <w:rPr>
                <w:rFonts w:hint="eastAsia" w:ascii="宋体" w:hAnsi="宋体" w:cs="宋体"/>
              </w:rPr>
              <w:t>检查项目管理</w:t>
            </w:r>
          </w:p>
        </w:tc>
        <w:tc>
          <w:tcPr>
            <w:tcW w:w="5444" w:type="dxa"/>
            <w:vAlign w:val="center"/>
          </w:tcPr>
          <w:p w14:paraId="0014778B">
            <w:pPr>
              <w:rPr>
                <w:rFonts w:ascii="宋体" w:hAnsi="宋体" w:cs="宋体"/>
              </w:rPr>
            </w:pPr>
            <w:r>
              <w:rPr>
                <w:rFonts w:hint="eastAsia" w:ascii="宋体" w:hAnsi="宋体" w:cs="宋体"/>
              </w:rPr>
              <w:t>用于配置管理眼科所有开展的检查项目类别及名称</w:t>
            </w:r>
          </w:p>
          <w:p w14:paraId="483543C1">
            <w:pPr>
              <w:rPr>
                <w:rFonts w:ascii="宋体" w:hAnsi="宋体" w:cs="宋体"/>
              </w:rPr>
            </w:pPr>
            <w:r>
              <w:rPr>
                <w:rFonts w:hint="eastAsia" w:ascii="宋体" w:hAnsi="宋体" w:cs="宋体"/>
              </w:rPr>
              <w:t>支持同步HIS上的检查项目并自动更新、删除、添加检查项目</w:t>
            </w:r>
          </w:p>
        </w:tc>
      </w:tr>
      <w:tr w14:paraId="50571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4B161F2F">
            <w:pPr>
              <w:jc w:val="center"/>
              <w:rPr>
                <w:rFonts w:ascii="宋体" w:hAnsi="宋体" w:cs="宋体"/>
              </w:rPr>
            </w:pPr>
          </w:p>
        </w:tc>
        <w:tc>
          <w:tcPr>
            <w:tcW w:w="1092" w:type="dxa"/>
            <w:vMerge w:val="continue"/>
            <w:vAlign w:val="center"/>
          </w:tcPr>
          <w:p w14:paraId="25957FFD">
            <w:pPr>
              <w:rPr>
                <w:rFonts w:ascii="宋体" w:hAnsi="宋体" w:cs="宋体"/>
              </w:rPr>
            </w:pPr>
          </w:p>
        </w:tc>
        <w:tc>
          <w:tcPr>
            <w:tcW w:w="1194" w:type="dxa"/>
            <w:vAlign w:val="center"/>
          </w:tcPr>
          <w:p w14:paraId="0A99F4FF">
            <w:pPr>
              <w:rPr>
                <w:rFonts w:ascii="宋体" w:hAnsi="宋体" w:cs="宋体"/>
              </w:rPr>
            </w:pPr>
            <w:r>
              <w:rPr>
                <w:rFonts w:hint="eastAsia" w:ascii="宋体" w:hAnsi="宋体" w:cs="宋体"/>
              </w:rPr>
              <w:t>检查设备管理</w:t>
            </w:r>
          </w:p>
        </w:tc>
        <w:tc>
          <w:tcPr>
            <w:tcW w:w="5444" w:type="dxa"/>
            <w:vAlign w:val="center"/>
          </w:tcPr>
          <w:p w14:paraId="4D8E3F5C">
            <w:pPr>
              <w:rPr>
                <w:rFonts w:ascii="宋体" w:hAnsi="宋体" w:cs="宋体"/>
              </w:rPr>
            </w:pPr>
            <w:r>
              <w:rPr>
                <w:rFonts w:hint="eastAsia" w:ascii="宋体" w:hAnsi="宋体" w:cs="宋体"/>
              </w:rPr>
              <w:t>用于对眼科所有检查设备及开展的检查项目进行详细配置，包括连接状态监测</w:t>
            </w:r>
          </w:p>
          <w:p w14:paraId="02CFD867">
            <w:pPr>
              <w:rPr>
                <w:rFonts w:ascii="宋体" w:hAnsi="宋体" w:cs="宋体"/>
              </w:rPr>
            </w:pPr>
            <w:r>
              <w:rPr>
                <w:rFonts w:hint="eastAsia" w:ascii="宋体" w:hAnsi="宋体" w:cs="宋体"/>
              </w:rPr>
              <w:t>可为检查设备配置一个或者多个检查项目及对应的检查报告模板等</w:t>
            </w:r>
          </w:p>
        </w:tc>
      </w:tr>
      <w:tr w14:paraId="52490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Merge w:val="continue"/>
            <w:vAlign w:val="center"/>
          </w:tcPr>
          <w:p w14:paraId="091B37DF">
            <w:pPr>
              <w:jc w:val="center"/>
              <w:rPr>
                <w:rFonts w:ascii="宋体" w:hAnsi="宋体" w:cs="宋体"/>
              </w:rPr>
            </w:pPr>
          </w:p>
        </w:tc>
        <w:tc>
          <w:tcPr>
            <w:tcW w:w="1092" w:type="dxa"/>
            <w:vMerge w:val="continue"/>
            <w:vAlign w:val="center"/>
          </w:tcPr>
          <w:p w14:paraId="165C8B20">
            <w:pPr>
              <w:rPr>
                <w:rFonts w:ascii="宋体" w:hAnsi="宋体" w:cs="宋体"/>
              </w:rPr>
            </w:pPr>
          </w:p>
        </w:tc>
        <w:tc>
          <w:tcPr>
            <w:tcW w:w="1194" w:type="dxa"/>
            <w:vAlign w:val="center"/>
          </w:tcPr>
          <w:p w14:paraId="388489D3">
            <w:pPr>
              <w:rPr>
                <w:rFonts w:ascii="宋体" w:hAnsi="宋体" w:cs="宋体"/>
              </w:rPr>
            </w:pPr>
            <w:r>
              <w:rPr>
                <w:rFonts w:hint="eastAsia" w:ascii="宋体" w:hAnsi="宋体" w:cs="宋体"/>
              </w:rPr>
              <w:t>患者信息管理</w:t>
            </w:r>
          </w:p>
        </w:tc>
        <w:tc>
          <w:tcPr>
            <w:tcW w:w="5444" w:type="dxa"/>
            <w:vAlign w:val="center"/>
          </w:tcPr>
          <w:p w14:paraId="2B59496D">
            <w:pPr>
              <w:rPr>
                <w:rFonts w:ascii="宋体" w:hAnsi="宋体" w:cs="宋体"/>
              </w:rPr>
            </w:pPr>
            <w:r>
              <w:rPr>
                <w:rFonts w:hint="eastAsia" w:ascii="宋体" w:hAnsi="宋体" w:cs="宋体"/>
              </w:rPr>
              <w:t>列表显示所有已开单眼科检查的患者基本信息，可通过患者ID号、姓名、性别、手机号等进行简单查询</w:t>
            </w:r>
          </w:p>
          <w:p w14:paraId="75A388C8">
            <w:pPr>
              <w:rPr>
                <w:rFonts w:ascii="宋体" w:hAnsi="宋体" w:cs="宋体"/>
              </w:rPr>
            </w:pPr>
            <w:r>
              <w:rPr>
                <w:rFonts w:hint="eastAsia" w:ascii="宋体" w:hAnsi="宋体" w:cs="宋体"/>
              </w:rPr>
              <w:t>可对单一患者基本信息里的错误内容进行手动修改，或输入患者ID，点击同步his患者，自动完成患者信息同步更新</w:t>
            </w:r>
          </w:p>
        </w:tc>
      </w:tr>
      <w:tr w14:paraId="5550E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Align w:val="center"/>
          </w:tcPr>
          <w:p w14:paraId="2E7D7C2E">
            <w:pPr>
              <w:jc w:val="center"/>
              <w:rPr>
                <w:rFonts w:ascii="宋体" w:hAnsi="宋体" w:cs="宋体"/>
              </w:rPr>
            </w:pPr>
            <w:r>
              <w:rPr>
                <w:rFonts w:hint="eastAsia" w:ascii="宋体" w:hAnsi="宋体" w:cs="宋体"/>
              </w:rPr>
              <w:t>8</w:t>
            </w:r>
          </w:p>
        </w:tc>
        <w:tc>
          <w:tcPr>
            <w:tcW w:w="2286" w:type="dxa"/>
            <w:gridSpan w:val="2"/>
            <w:vAlign w:val="center"/>
          </w:tcPr>
          <w:p w14:paraId="3094938E">
            <w:pPr>
              <w:rPr>
                <w:rFonts w:ascii="宋体" w:hAnsi="宋体" w:cs="宋体"/>
              </w:rPr>
            </w:pPr>
            <w:r>
              <w:rPr>
                <w:rFonts w:hint="eastAsia" w:ascii="宋体" w:hAnsi="宋体" w:cs="宋体"/>
              </w:rPr>
              <w:t>设备对接</w:t>
            </w:r>
          </w:p>
        </w:tc>
        <w:tc>
          <w:tcPr>
            <w:tcW w:w="5444" w:type="dxa"/>
            <w:vAlign w:val="center"/>
          </w:tcPr>
          <w:p w14:paraId="15F68DD2">
            <w:pPr>
              <w:rPr>
                <w:rFonts w:ascii="宋体" w:hAnsi="宋体" w:cs="宋体"/>
              </w:rPr>
            </w:pPr>
            <w:r>
              <w:rPr>
                <w:rFonts w:hint="eastAsia" w:ascii="宋体" w:hAnsi="宋体" w:cs="宋体"/>
              </w:rPr>
              <w:t>系统支持目前眼科检查设备对接</w:t>
            </w:r>
          </w:p>
        </w:tc>
      </w:tr>
      <w:tr w14:paraId="0BDF6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2" w:type="dxa"/>
            <w:vAlign w:val="center"/>
          </w:tcPr>
          <w:p w14:paraId="3CAAD685">
            <w:pPr>
              <w:jc w:val="center"/>
              <w:rPr>
                <w:rFonts w:ascii="宋体" w:hAnsi="宋体" w:cs="宋体"/>
              </w:rPr>
            </w:pPr>
            <w:r>
              <w:rPr>
                <w:rFonts w:hint="eastAsia" w:ascii="宋体" w:hAnsi="宋体" w:cs="宋体"/>
              </w:rPr>
              <w:t>9</w:t>
            </w:r>
          </w:p>
        </w:tc>
        <w:tc>
          <w:tcPr>
            <w:tcW w:w="2286" w:type="dxa"/>
            <w:gridSpan w:val="2"/>
            <w:vAlign w:val="center"/>
          </w:tcPr>
          <w:p w14:paraId="597AA3B5">
            <w:pPr>
              <w:rPr>
                <w:rFonts w:ascii="宋体" w:hAnsi="宋体" w:cs="宋体"/>
              </w:rPr>
            </w:pPr>
            <w:r>
              <w:rPr>
                <w:rFonts w:hint="eastAsia" w:ascii="宋体" w:hAnsi="宋体" w:cs="宋体"/>
              </w:rPr>
              <w:t>开放接口</w:t>
            </w:r>
          </w:p>
        </w:tc>
        <w:tc>
          <w:tcPr>
            <w:tcW w:w="5444" w:type="dxa"/>
            <w:vAlign w:val="center"/>
          </w:tcPr>
          <w:p w14:paraId="69020B2D">
            <w:pPr>
              <w:rPr>
                <w:rFonts w:ascii="宋体" w:hAnsi="宋体" w:cs="宋体"/>
              </w:rPr>
            </w:pPr>
            <w:r>
              <w:rPr>
                <w:rFonts w:hint="eastAsia" w:ascii="宋体" w:hAnsi="宋体" w:cs="宋体"/>
              </w:rPr>
              <w:t>提供标准接口，便于其他系统调用眼科检查系统采集的影像和报告数据</w:t>
            </w:r>
          </w:p>
        </w:tc>
      </w:tr>
    </w:tbl>
    <w:p w14:paraId="1FEAFBA8">
      <w:pPr>
        <w:pStyle w:val="4"/>
      </w:pPr>
      <w:r>
        <w:t>眼科影像平台</w:t>
      </w:r>
      <w:r>
        <w:rPr>
          <w:rFonts w:hint="eastAsia"/>
        </w:rPr>
        <w:t>模块</w:t>
      </w:r>
    </w:p>
    <w:tbl>
      <w:tblPr>
        <w:tblStyle w:val="19"/>
        <w:tblW w:w="8325"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
        <w:gridCol w:w="1557"/>
        <w:gridCol w:w="2001"/>
        <w:gridCol w:w="4349"/>
      </w:tblGrid>
      <w:tr w14:paraId="6542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18" w:type="dxa"/>
            <w:vMerge w:val="restart"/>
            <w:vAlign w:val="center"/>
          </w:tcPr>
          <w:p w14:paraId="2A7B1C12">
            <w:pPr>
              <w:jc w:val="center"/>
              <w:rPr>
                <w:rFonts w:ascii="宋体" w:hAnsi="宋体" w:cs="宋体"/>
              </w:rPr>
            </w:pPr>
            <w:r>
              <w:rPr>
                <w:rFonts w:hint="eastAsia" w:ascii="宋体" w:hAnsi="宋体" w:cs="宋体"/>
                <w:lang w:bidi="ne-NP"/>
              </w:rPr>
              <w:t>序号</w:t>
            </w:r>
          </w:p>
        </w:tc>
        <w:tc>
          <w:tcPr>
            <w:tcW w:w="3558" w:type="dxa"/>
            <w:gridSpan w:val="2"/>
            <w:vAlign w:val="center"/>
          </w:tcPr>
          <w:p w14:paraId="73AD60D9">
            <w:pPr>
              <w:jc w:val="center"/>
              <w:rPr>
                <w:rFonts w:ascii="宋体" w:hAnsi="宋体" w:cs="宋体"/>
              </w:rPr>
            </w:pPr>
            <w:r>
              <w:rPr>
                <w:rFonts w:hint="eastAsia" w:ascii="宋体" w:hAnsi="宋体" w:cs="宋体"/>
                <w:lang w:bidi="ne-NP"/>
              </w:rPr>
              <w:t>功能/性能</w:t>
            </w:r>
          </w:p>
        </w:tc>
        <w:tc>
          <w:tcPr>
            <w:tcW w:w="4349" w:type="dxa"/>
            <w:vMerge w:val="restart"/>
            <w:vAlign w:val="center"/>
          </w:tcPr>
          <w:p w14:paraId="3746DF19">
            <w:pPr>
              <w:jc w:val="center"/>
              <w:rPr>
                <w:rFonts w:ascii="宋体" w:hAnsi="宋体" w:cs="宋体"/>
                <w:lang w:bidi="ne-NP"/>
              </w:rPr>
            </w:pPr>
            <w:r>
              <w:rPr>
                <w:rFonts w:hint="eastAsia" w:ascii="宋体" w:hAnsi="宋体" w:cs="宋体"/>
                <w:lang w:bidi="ne-NP"/>
              </w:rPr>
              <w:t>具体要求</w:t>
            </w:r>
          </w:p>
        </w:tc>
      </w:tr>
      <w:tr w14:paraId="760C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18" w:type="dxa"/>
            <w:vMerge w:val="continue"/>
            <w:vAlign w:val="center"/>
          </w:tcPr>
          <w:p w14:paraId="02063DCF">
            <w:pPr>
              <w:ind w:firstLine="360"/>
              <w:jc w:val="center"/>
              <w:rPr>
                <w:rFonts w:ascii="宋体" w:hAnsi="宋体" w:cs="宋体"/>
              </w:rPr>
            </w:pPr>
          </w:p>
        </w:tc>
        <w:tc>
          <w:tcPr>
            <w:tcW w:w="1557" w:type="dxa"/>
            <w:vAlign w:val="center"/>
          </w:tcPr>
          <w:p w14:paraId="38FB616C">
            <w:pPr>
              <w:rPr>
                <w:rFonts w:ascii="宋体" w:hAnsi="宋体" w:cs="宋体"/>
              </w:rPr>
            </w:pPr>
            <w:r>
              <w:rPr>
                <w:rFonts w:hint="eastAsia" w:ascii="宋体" w:hAnsi="宋体" w:cs="宋体"/>
              </w:rPr>
              <w:t>一级模块</w:t>
            </w:r>
          </w:p>
        </w:tc>
        <w:tc>
          <w:tcPr>
            <w:tcW w:w="2001" w:type="dxa"/>
            <w:vAlign w:val="center"/>
          </w:tcPr>
          <w:p w14:paraId="439B03B7">
            <w:pPr>
              <w:rPr>
                <w:rFonts w:ascii="宋体" w:hAnsi="宋体" w:cs="宋体"/>
              </w:rPr>
            </w:pPr>
            <w:r>
              <w:rPr>
                <w:rFonts w:hint="eastAsia" w:ascii="宋体" w:hAnsi="宋体" w:cs="宋体"/>
              </w:rPr>
              <w:t>二级模块</w:t>
            </w:r>
          </w:p>
        </w:tc>
        <w:tc>
          <w:tcPr>
            <w:tcW w:w="4349" w:type="dxa"/>
            <w:vMerge w:val="continue"/>
            <w:vAlign w:val="center"/>
          </w:tcPr>
          <w:p w14:paraId="6685E747">
            <w:pPr>
              <w:ind w:firstLine="360"/>
              <w:rPr>
                <w:rFonts w:ascii="宋体" w:hAnsi="宋体" w:cs="宋体"/>
              </w:rPr>
            </w:pPr>
          </w:p>
        </w:tc>
      </w:tr>
      <w:tr w14:paraId="14DE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restart"/>
            <w:vAlign w:val="center"/>
          </w:tcPr>
          <w:p w14:paraId="0A972297">
            <w:pPr>
              <w:rPr>
                <w:rFonts w:ascii="宋体" w:hAnsi="宋体" w:cs="宋体"/>
              </w:rPr>
            </w:pPr>
            <w:r>
              <w:rPr>
                <w:rFonts w:hint="eastAsia" w:ascii="宋体" w:hAnsi="宋体" w:cs="宋体"/>
              </w:rPr>
              <w:t>1</w:t>
            </w:r>
          </w:p>
        </w:tc>
        <w:tc>
          <w:tcPr>
            <w:tcW w:w="1557" w:type="dxa"/>
            <w:vMerge w:val="restart"/>
            <w:vAlign w:val="center"/>
          </w:tcPr>
          <w:p w14:paraId="7E64B41A">
            <w:pPr>
              <w:rPr>
                <w:rFonts w:ascii="宋体" w:hAnsi="宋体" w:cs="宋体"/>
              </w:rPr>
            </w:pPr>
            <w:r>
              <w:rPr>
                <w:rFonts w:hint="eastAsia" w:ascii="宋体" w:hAnsi="宋体" w:cs="宋体"/>
              </w:rPr>
              <w:t>患者列表</w:t>
            </w:r>
          </w:p>
        </w:tc>
        <w:tc>
          <w:tcPr>
            <w:tcW w:w="2001" w:type="dxa"/>
            <w:vAlign w:val="center"/>
          </w:tcPr>
          <w:p w14:paraId="0DE93C3F">
            <w:pPr>
              <w:rPr>
                <w:rFonts w:ascii="宋体" w:hAnsi="宋体" w:cs="宋体"/>
              </w:rPr>
            </w:pPr>
            <w:r>
              <w:rPr>
                <w:rFonts w:hint="eastAsia" w:ascii="宋体" w:hAnsi="宋体" w:cs="宋体"/>
              </w:rPr>
              <w:t>患者列表</w:t>
            </w:r>
          </w:p>
        </w:tc>
        <w:tc>
          <w:tcPr>
            <w:tcW w:w="4349" w:type="dxa"/>
            <w:vAlign w:val="center"/>
          </w:tcPr>
          <w:p w14:paraId="72670ED7">
            <w:pPr>
              <w:rPr>
                <w:rFonts w:ascii="宋体" w:hAnsi="宋体" w:cs="宋体"/>
              </w:rPr>
            </w:pPr>
            <w:r>
              <w:rPr>
                <w:rFonts w:hint="eastAsia" w:ascii="宋体" w:hAnsi="宋体" w:cs="宋体"/>
              </w:rPr>
              <w:t>分页展示最近做过检查的患者信息</w:t>
            </w:r>
          </w:p>
        </w:tc>
      </w:tr>
      <w:tr w14:paraId="0D29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09D61A9F">
            <w:pPr>
              <w:ind w:firstLine="360"/>
              <w:jc w:val="center"/>
              <w:rPr>
                <w:rFonts w:ascii="宋体" w:hAnsi="宋体" w:cs="宋体"/>
              </w:rPr>
            </w:pPr>
          </w:p>
        </w:tc>
        <w:tc>
          <w:tcPr>
            <w:tcW w:w="1557" w:type="dxa"/>
            <w:vMerge w:val="continue"/>
            <w:vAlign w:val="center"/>
          </w:tcPr>
          <w:p w14:paraId="530B9AEB">
            <w:pPr>
              <w:ind w:firstLine="360"/>
              <w:jc w:val="center"/>
              <w:rPr>
                <w:rFonts w:ascii="宋体" w:hAnsi="宋体" w:cs="宋体"/>
              </w:rPr>
            </w:pPr>
          </w:p>
        </w:tc>
        <w:tc>
          <w:tcPr>
            <w:tcW w:w="2001" w:type="dxa"/>
            <w:vAlign w:val="center"/>
          </w:tcPr>
          <w:p w14:paraId="3FC0E4F4">
            <w:pPr>
              <w:rPr>
                <w:rFonts w:ascii="宋体" w:hAnsi="宋体" w:cs="宋体"/>
              </w:rPr>
            </w:pPr>
            <w:r>
              <w:rPr>
                <w:rFonts w:hint="eastAsia" w:ascii="宋体" w:hAnsi="宋体" w:cs="宋体"/>
              </w:rPr>
              <w:t>患者查询</w:t>
            </w:r>
          </w:p>
        </w:tc>
        <w:tc>
          <w:tcPr>
            <w:tcW w:w="4349" w:type="dxa"/>
            <w:vAlign w:val="center"/>
          </w:tcPr>
          <w:p w14:paraId="2A5DD0CE">
            <w:pPr>
              <w:rPr>
                <w:rFonts w:ascii="宋体" w:hAnsi="宋体" w:cs="宋体"/>
              </w:rPr>
            </w:pPr>
            <w:r>
              <w:rPr>
                <w:rFonts w:hint="eastAsia" w:ascii="宋体" w:hAnsi="宋体" w:cs="宋体"/>
              </w:rPr>
              <w:t>提供日期选择仪器、病历号或患者姓名输入框查询患者</w:t>
            </w:r>
          </w:p>
        </w:tc>
      </w:tr>
      <w:tr w14:paraId="62736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25903B1E">
            <w:pPr>
              <w:ind w:firstLine="360"/>
              <w:jc w:val="center"/>
              <w:rPr>
                <w:rFonts w:ascii="宋体" w:hAnsi="宋体" w:cs="宋体"/>
              </w:rPr>
            </w:pPr>
          </w:p>
        </w:tc>
        <w:tc>
          <w:tcPr>
            <w:tcW w:w="1557" w:type="dxa"/>
            <w:vMerge w:val="continue"/>
            <w:vAlign w:val="center"/>
          </w:tcPr>
          <w:p w14:paraId="1BBBCCDE">
            <w:pPr>
              <w:ind w:firstLine="360"/>
              <w:jc w:val="center"/>
              <w:rPr>
                <w:rFonts w:ascii="宋体" w:hAnsi="宋体" w:cs="宋体"/>
              </w:rPr>
            </w:pPr>
          </w:p>
        </w:tc>
        <w:tc>
          <w:tcPr>
            <w:tcW w:w="2001" w:type="dxa"/>
            <w:vAlign w:val="center"/>
          </w:tcPr>
          <w:p w14:paraId="46F522C9">
            <w:pPr>
              <w:rPr>
                <w:rFonts w:ascii="宋体" w:hAnsi="宋体" w:cs="宋体"/>
              </w:rPr>
            </w:pPr>
            <w:r>
              <w:rPr>
                <w:rFonts w:hint="eastAsia" w:ascii="宋体" w:hAnsi="宋体" w:cs="宋体"/>
              </w:rPr>
              <w:t>患者切换</w:t>
            </w:r>
          </w:p>
        </w:tc>
        <w:tc>
          <w:tcPr>
            <w:tcW w:w="4349" w:type="dxa"/>
            <w:vAlign w:val="center"/>
          </w:tcPr>
          <w:p w14:paraId="7FDF4353">
            <w:pPr>
              <w:rPr>
                <w:rFonts w:ascii="宋体" w:hAnsi="宋体" w:cs="宋体"/>
              </w:rPr>
            </w:pPr>
            <w:r>
              <w:rPr>
                <w:rFonts w:hint="eastAsia" w:ascii="宋体" w:hAnsi="宋体" w:cs="宋体"/>
              </w:rPr>
              <w:t>单击患者列表中任意患者，将显示该患者的患者信息</w:t>
            </w:r>
          </w:p>
        </w:tc>
      </w:tr>
      <w:tr w14:paraId="1B4A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Align w:val="center"/>
          </w:tcPr>
          <w:p w14:paraId="2162342A">
            <w:pPr>
              <w:rPr>
                <w:rFonts w:ascii="宋体" w:hAnsi="宋体" w:cs="宋体"/>
              </w:rPr>
            </w:pPr>
            <w:r>
              <w:rPr>
                <w:rFonts w:hint="eastAsia" w:ascii="宋体" w:hAnsi="宋体" w:cs="宋体"/>
              </w:rPr>
              <w:t>2</w:t>
            </w:r>
          </w:p>
        </w:tc>
        <w:tc>
          <w:tcPr>
            <w:tcW w:w="1557" w:type="dxa"/>
            <w:vAlign w:val="center"/>
          </w:tcPr>
          <w:p w14:paraId="07BBEC5E">
            <w:pPr>
              <w:rPr>
                <w:rFonts w:ascii="宋体" w:hAnsi="宋体" w:cs="宋体"/>
              </w:rPr>
            </w:pPr>
            <w:r>
              <w:rPr>
                <w:rFonts w:hint="eastAsia" w:ascii="宋体" w:hAnsi="宋体" w:cs="宋体"/>
              </w:rPr>
              <w:t>患者信息展示</w:t>
            </w:r>
          </w:p>
        </w:tc>
        <w:tc>
          <w:tcPr>
            <w:tcW w:w="2001" w:type="dxa"/>
            <w:vAlign w:val="center"/>
          </w:tcPr>
          <w:p w14:paraId="1B6DC114">
            <w:pPr>
              <w:rPr>
                <w:rFonts w:ascii="宋体" w:hAnsi="宋体" w:cs="宋体"/>
              </w:rPr>
            </w:pPr>
            <w:r>
              <w:rPr>
                <w:rFonts w:hint="eastAsia" w:ascii="宋体" w:hAnsi="宋体" w:cs="宋体"/>
              </w:rPr>
              <w:t>患者信息展示</w:t>
            </w:r>
          </w:p>
        </w:tc>
        <w:tc>
          <w:tcPr>
            <w:tcW w:w="4349" w:type="dxa"/>
            <w:vAlign w:val="center"/>
          </w:tcPr>
          <w:p w14:paraId="64E99786">
            <w:pPr>
              <w:rPr>
                <w:rFonts w:ascii="宋体" w:hAnsi="宋体" w:cs="宋体"/>
              </w:rPr>
            </w:pPr>
            <w:r>
              <w:rPr>
                <w:rFonts w:hint="eastAsia" w:ascii="宋体" w:hAnsi="宋体" w:cs="宋体"/>
              </w:rPr>
              <w:t>在合适位置展示当前查看的患者的姓名、年龄等重要信息</w:t>
            </w:r>
          </w:p>
        </w:tc>
      </w:tr>
      <w:tr w14:paraId="25955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restart"/>
            <w:vAlign w:val="center"/>
          </w:tcPr>
          <w:p w14:paraId="0C8B6C5F">
            <w:pPr>
              <w:rPr>
                <w:rFonts w:ascii="宋体" w:hAnsi="宋体" w:cs="宋体"/>
              </w:rPr>
            </w:pPr>
            <w:r>
              <w:rPr>
                <w:rFonts w:hint="eastAsia" w:ascii="宋体" w:hAnsi="宋体" w:cs="宋体"/>
              </w:rPr>
              <w:t>3</w:t>
            </w:r>
          </w:p>
        </w:tc>
        <w:tc>
          <w:tcPr>
            <w:tcW w:w="1557" w:type="dxa"/>
            <w:vMerge w:val="restart"/>
            <w:vAlign w:val="center"/>
          </w:tcPr>
          <w:p w14:paraId="7091F765">
            <w:pPr>
              <w:rPr>
                <w:rFonts w:ascii="宋体" w:hAnsi="宋体" w:cs="宋体"/>
              </w:rPr>
            </w:pPr>
            <w:r>
              <w:rPr>
                <w:rFonts w:hint="eastAsia" w:ascii="宋体" w:hAnsi="宋体" w:cs="宋体"/>
              </w:rPr>
              <w:t>影像浏览</w:t>
            </w:r>
          </w:p>
        </w:tc>
        <w:tc>
          <w:tcPr>
            <w:tcW w:w="2001" w:type="dxa"/>
            <w:vAlign w:val="center"/>
          </w:tcPr>
          <w:p w14:paraId="0A591FD1">
            <w:pPr>
              <w:rPr>
                <w:rFonts w:ascii="宋体" w:hAnsi="宋体" w:cs="宋体"/>
              </w:rPr>
            </w:pPr>
            <w:r>
              <w:rPr>
                <w:rFonts w:hint="eastAsia" w:ascii="宋体" w:hAnsi="宋体" w:cs="宋体"/>
              </w:rPr>
              <w:t>检查列表</w:t>
            </w:r>
          </w:p>
        </w:tc>
        <w:tc>
          <w:tcPr>
            <w:tcW w:w="4349" w:type="dxa"/>
            <w:vAlign w:val="center"/>
          </w:tcPr>
          <w:p w14:paraId="3DBD6EF9">
            <w:pPr>
              <w:rPr>
                <w:rFonts w:ascii="宋体" w:hAnsi="宋体" w:cs="宋体"/>
              </w:rPr>
            </w:pPr>
            <w:r>
              <w:rPr>
                <w:rFonts w:hint="eastAsia" w:ascii="宋体" w:hAnsi="宋体" w:cs="宋体"/>
              </w:rPr>
              <w:t>展示当前患者所有做过的检查</w:t>
            </w:r>
          </w:p>
        </w:tc>
      </w:tr>
      <w:tr w14:paraId="172BF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3008E8C0">
            <w:pPr>
              <w:ind w:firstLine="360"/>
              <w:jc w:val="center"/>
              <w:rPr>
                <w:rFonts w:ascii="宋体" w:hAnsi="宋体" w:cs="宋体"/>
              </w:rPr>
            </w:pPr>
          </w:p>
        </w:tc>
        <w:tc>
          <w:tcPr>
            <w:tcW w:w="1557" w:type="dxa"/>
            <w:vMerge w:val="continue"/>
            <w:vAlign w:val="center"/>
          </w:tcPr>
          <w:p w14:paraId="0A39404A">
            <w:pPr>
              <w:ind w:firstLine="360"/>
              <w:jc w:val="center"/>
              <w:rPr>
                <w:rFonts w:ascii="宋体" w:hAnsi="宋体" w:cs="宋体"/>
              </w:rPr>
            </w:pPr>
          </w:p>
        </w:tc>
        <w:tc>
          <w:tcPr>
            <w:tcW w:w="2001" w:type="dxa"/>
            <w:vAlign w:val="center"/>
          </w:tcPr>
          <w:p w14:paraId="77E869D5">
            <w:pPr>
              <w:rPr>
                <w:rFonts w:ascii="宋体" w:hAnsi="宋体" w:cs="宋体"/>
              </w:rPr>
            </w:pPr>
            <w:r>
              <w:rPr>
                <w:rFonts w:hint="eastAsia" w:ascii="宋体" w:hAnsi="宋体" w:cs="宋体"/>
              </w:rPr>
              <w:t>影像列表</w:t>
            </w:r>
          </w:p>
        </w:tc>
        <w:tc>
          <w:tcPr>
            <w:tcW w:w="4349" w:type="dxa"/>
            <w:vAlign w:val="center"/>
          </w:tcPr>
          <w:p w14:paraId="20F6371B">
            <w:pPr>
              <w:rPr>
                <w:rFonts w:ascii="宋体" w:hAnsi="宋体" w:cs="宋体"/>
              </w:rPr>
            </w:pPr>
            <w:r>
              <w:rPr>
                <w:rFonts w:hint="eastAsia" w:ascii="宋体" w:hAnsi="宋体" w:cs="宋体"/>
              </w:rPr>
              <w:t>展示该患者某次检查结果的所有影像</w:t>
            </w:r>
          </w:p>
        </w:tc>
      </w:tr>
      <w:tr w14:paraId="4F54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7786E91F">
            <w:pPr>
              <w:ind w:firstLine="360"/>
              <w:jc w:val="center"/>
              <w:rPr>
                <w:rFonts w:ascii="宋体" w:hAnsi="宋体" w:cs="宋体"/>
              </w:rPr>
            </w:pPr>
          </w:p>
        </w:tc>
        <w:tc>
          <w:tcPr>
            <w:tcW w:w="1557" w:type="dxa"/>
            <w:vMerge w:val="continue"/>
            <w:vAlign w:val="center"/>
          </w:tcPr>
          <w:p w14:paraId="68FE9EA6">
            <w:pPr>
              <w:ind w:firstLine="360"/>
              <w:jc w:val="center"/>
              <w:rPr>
                <w:rFonts w:ascii="宋体" w:hAnsi="宋体" w:cs="宋体"/>
              </w:rPr>
            </w:pPr>
          </w:p>
        </w:tc>
        <w:tc>
          <w:tcPr>
            <w:tcW w:w="2001" w:type="dxa"/>
            <w:vAlign w:val="center"/>
          </w:tcPr>
          <w:p w14:paraId="76AD483D">
            <w:pPr>
              <w:rPr>
                <w:rFonts w:ascii="宋体" w:hAnsi="宋体" w:cs="宋体"/>
              </w:rPr>
            </w:pPr>
            <w:r>
              <w:rPr>
                <w:rFonts w:hint="eastAsia" w:ascii="宋体" w:hAnsi="宋体" w:cs="宋体"/>
              </w:rPr>
              <w:t>影像查询</w:t>
            </w:r>
          </w:p>
        </w:tc>
        <w:tc>
          <w:tcPr>
            <w:tcW w:w="4349" w:type="dxa"/>
            <w:vAlign w:val="center"/>
          </w:tcPr>
          <w:p w14:paraId="4F0B6795">
            <w:pPr>
              <w:rPr>
                <w:rFonts w:ascii="宋体" w:hAnsi="宋体" w:cs="宋体"/>
              </w:rPr>
            </w:pPr>
            <w:r>
              <w:rPr>
                <w:rFonts w:hint="eastAsia" w:ascii="宋体" w:hAnsi="宋体" w:cs="宋体"/>
              </w:rPr>
              <w:t>支持根据检查项目、检查日期等条件查询该患者的某次检查结果</w:t>
            </w:r>
          </w:p>
        </w:tc>
      </w:tr>
      <w:tr w14:paraId="1333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034AC2A4">
            <w:pPr>
              <w:ind w:firstLine="360"/>
              <w:jc w:val="center"/>
              <w:rPr>
                <w:rFonts w:ascii="宋体" w:hAnsi="宋体" w:cs="宋体"/>
              </w:rPr>
            </w:pPr>
          </w:p>
        </w:tc>
        <w:tc>
          <w:tcPr>
            <w:tcW w:w="1557" w:type="dxa"/>
            <w:vMerge w:val="continue"/>
            <w:vAlign w:val="center"/>
          </w:tcPr>
          <w:p w14:paraId="2C121D5B">
            <w:pPr>
              <w:ind w:firstLine="360"/>
              <w:jc w:val="center"/>
              <w:rPr>
                <w:rFonts w:ascii="宋体" w:hAnsi="宋体" w:cs="宋体"/>
              </w:rPr>
            </w:pPr>
          </w:p>
        </w:tc>
        <w:tc>
          <w:tcPr>
            <w:tcW w:w="2001" w:type="dxa"/>
            <w:vAlign w:val="center"/>
          </w:tcPr>
          <w:p w14:paraId="73A7680E">
            <w:pPr>
              <w:rPr>
                <w:rFonts w:ascii="宋体" w:hAnsi="宋体" w:cs="宋体"/>
              </w:rPr>
            </w:pPr>
            <w:r>
              <w:rPr>
                <w:rFonts w:hint="eastAsia" w:ascii="宋体" w:hAnsi="宋体" w:cs="宋体"/>
              </w:rPr>
              <w:t>影像分类</w:t>
            </w:r>
          </w:p>
        </w:tc>
        <w:tc>
          <w:tcPr>
            <w:tcW w:w="4349" w:type="dxa"/>
            <w:vAlign w:val="center"/>
          </w:tcPr>
          <w:p w14:paraId="70B1F383">
            <w:pPr>
              <w:rPr>
                <w:rFonts w:ascii="宋体" w:hAnsi="宋体" w:cs="宋体"/>
              </w:rPr>
            </w:pPr>
            <w:r>
              <w:rPr>
                <w:rFonts w:hint="eastAsia" w:ascii="宋体" w:hAnsi="宋体" w:cs="宋体"/>
              </w:rPr>
              <w:t>可选择根据检查项目或检查日期来查看检查结果</w:t>
            </w:r>
          </w:p>
        </w:tc>
      </w:tr>
      <w:tr w14:paraId="0978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6704B3DC">
            <w:pPr>
              <w:ind w:firstLine="360"/>
              <w:jc w:val="center"/>
              <w:rPr>
                <w:rFonts w:ascii="宋体" w:hAnsi="宋体" w:cs="宋体"/>
              </w:rPr>
            </w:pPr>
          </w:p>
        </w:tc>
        <w:tc>
          <w:tcPr>
            <w:tcW w:w="1557" w:type="dxa"/>
            <w:vMerge w:val="continue"/>
            <w:vAlign w:val="center"/>
          </w:tcPr>
          <w:p w14:paraId="5FF26D84">
            <w:pPr>
              <w:ind w:firstLine="360"/>
              <w:jc w:val="center"/>
              <w:rPr>
                <w:rFonts w:ascii="宋体" w:hAnsi="宋体" w:cs="宋体"/>
              </w:rPr>
            </w:pPr>
          </w:p>
        </w:tc>
        <w:tc>
          <w:tcPr>
            <w:tcW w:w="2001" w:type="dxa"/>
            <w:vAlign w:val="center"/>
          </w:tcPr>
          <w:p w14:paraId="35E1A897">
            <w:pPr>
              <w:rPr>
                <w:rFonts w:ascii="宋体" w:hAnsi="宋体" w:cs="宋体"/>
              </w:rPr>
            </w:pPr>
            <w:r>
              <w:rPr>
                <w:rFonts w:hint="eastAsia" w:ascii="宋体" w:hAnsi="宋体" w:cs="宋体"/>
              </w:rPr>
              <w:t>影像播放</w:t>
            </w:r>
          </w:p>
        </w:tc>
        <w:tc>
          <w:tcPr>
            <w:tcW w:w="4349" w:type="dxa"/>
            <w:vAlign w:val="center"/>
          </w:tcPr>
          <w:p w14:paraId="531A2A66">
            <w:pPr>
              <w:rPr>
                <w:rFonts w:ascii="宋体" w:hAnsi="宋体" w:cs="宋体"/>
              </w:rPr>
            </w:pPr>
            <w:r>
              <w:rPr>
                <w:rFonts w:hint="eastAsia" w:ascii="宋体" w:hAnsi="宋体" w:cs="宋体"/>
              </w:rPr>
              <w:t>支持播放视频</w:t>
            </w:r>
          </w:p>
        </w:tc>
      </w:tr>
      <w:tr w14:paraId="06743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restart"/>
            <w:vAlign w:val="center"/>
          </w:tcPr>
          <w:p w14:paraId="61E8A8E3">
            <w:pPr>
              <w:rPr>
                <w:rFonts w:ascii="宋体" w:hAnsi="宋体" w:cs="宋体"/>
              </w:rPr>
            </w:pPr>
            <w:r>
              <w:rPr>
                <w:rFonts w:hint="eastAsia" w:ascii="宋体" w:hAnsi="宋体" w:cs="宋体"/>
              </w:rPr>
              <w:t>4</w:t>
            </w:r>
          </w:p>
        </w:tc>
        <w:tc>
          <w:tcPr>
            <w:tcW w:w="1557" w:type="dxa"/>
            <w:vMerge w:val="restart"/>
            <w:vAlign w:val="center"/>
          </w:tcPr>
          <w:p w14:paraId="3A46B378">
            <w:pPr>
              <w:rPr>
                <w:rFonts w:ascii="宋体" w:hAnsi="宋体" w:cs="宋体"/>
              </w:rPr>
            </w:pPr>
            <w:r>
              <w:rPr>
                <w:rFonts w:hint="eastAsia" w:ascii="宋体" w:hAnsi="宋体" w:cs="宋体"/>
              </w:rPr>
              <w:t>阅片管理</w:t>
            </w:r>
          </w:p>
        </w:tc>
        <w:tc>
          <w:tcPr>
            <w:tcW w:w="2001" w:type="dxa"/>
            <w:vAlign w:val="center"/>
          </w:tcPr>
          <w:p w14:paraId="2E8C03DD">
            <w:pPr>
              <w:rPr>
                <w:rFonts w:ascii="宋体" w:hAnsi="宋体" w:cs="宋体"/>
              </w:rPr>
            </w:pPr>
            <w:r>
              <w:rPr>
                <w:rFonts w:hint="eastAsia" w:ascii="宋体" w:hAnsi="宋体" w:cs="宋体"/>
              </w:rPr>
              <w:t>序列布局</w:t>
            </w:r>
          </w:p>
        </w:tc>
        <w:tc>
          <w:tcPr>
            <w:tcW w:w="4349" w:type="dxa"/>
            <w:vAlign w:val="center"/>
          </w:tcPr>
          <w:p w14:paraId="3F2D7CD6">
            <w:pPr>
              <w:rPr>
                <w:rFonts w:ascii="宋体" w:hAnsi="宋体" w:cs="宋体"/>
              </w:rPr>
            </w:pPr>
            <w:r>
              <w:rPr>
                <w:rFonts w:hint="eastAsia" w:ascii="宋体" w:hAnsi="宋体" w:cs="宋体"/>
              </w:rPr>
              <w:t>可进行图像窗口布局调整，可以根据图像类型自动调整图像布局，也可以根据需要手动设定窗口分格</w:t>
            </w:r>
          </w:p>
        </w:tc>
      </w:tr>
      <w:tr w14:paraId="642F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57DE6020">
            <w:pPr>
              <w:ind w:firstLine="360"/>
              <w:jc w:val="center"/>
              <w:rPr>
                <w:rFonts w:ascii="宋体" w:hAnsi="宋体" w:cs="宋体"/>
              </w:rPr>
            </w:pPr>
          </w:p>
        </w:tc>
        <w:tc>
          <w:tcPr>
            <w:tcW w:w="1557" w:type="dxa"/>
            <w:vMerge w:val="continue"/>
            <w:vAlign w:val="center"/>
          </w:tcPr>
          <w:p w14:paraId="28BE5C37">
            <w:pPr>
              <w:ind w:firstLine="360"/>
              <w:jc w:val="center"/>
              <w:rPr>
                <w:rFonts w:ascii="宋体" w:hAnsi="宋体" w:cs="宋体"/>
              </w:rPr>
            </w:pPr>
          </w:p>
        </w:tc>
        <w:tc>
          <w:tcPr>
            <w:tcW w:w="2001" w:type="dxa"/>
            <w:vAlign w:val="center"/>
          </w:tcPr>
          <w:p w14:paraId="4BAE0DB7">
            <w:pPr>
              <w:rPr>
                <w:rFonts w:ascii="宋体" w:hAnsi="宋体" w:cs="宋体"/>
              </w:rPr>
            </w:pPr>
            <w:r>
              <w:rPr>
                <w:rFonts w:hint="eastAsia" w:ascii="宋体" w:hAnsi="宋体" w:cs="宋体"/>
              </w:rPr>
              <w:t>窗宽窗位</w:t>
            </w:r>
          </w:p>
        </w:tc>
        <w:tc>
          <w:tcPr>
            <w:tcW w:w="4349" w:type="dxa"/>
            <w:vAlign w:val="center"/>
          </w:tcPr>
          <w:p w14:paraId="30D344A0">
            <w:pPr>
              <w:rPr>
                <w:rFonts w:ascii="宋体" w:hAnsi="宋体" w:cs="宋体"/>
              </w:rPr>
            </w:pPr>
            <w:r>
              <w:rPr>
                <w:rFonts w:hint="eastAsia" w:ascii="宋体" w:hAnsi="宋体" w:cs="宋体"/>
              </w:rPr>
              <w:t>在图像上点击后拖动可调整影像的窗宽窗位</w:t>
            </w:r>
          </w:p>
        </w:tc>
      </w:tr>
      <w:tr w14:paraId="1081C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1E23606B">
            <w:pPr>
              <w:ind w:firstLine="360"/>
              <w:jc w:val="center"/>
              <w:rPr>
                <w:rFonts w:ascii="宋体" w:hAnsi="宋体" w:cs="宋体"/>
              </w:rPr>
            </w:pPr>
          </w:p>
        </w:tc>
        <w:tc>
          <w:tcPr>
            <w:tcW w:w="1557" w:type="dxa"/>
            <w:vMerge w:val="continue"/>
            <w:vAlign w:val="center"/>
          </w:tcPr>
          <w:p w14:paraId="59927B5C">
            <w:pPr>
              <w:ind w:firstLine="360"/>
              <w:jc w:val="center"/>
              <w:rPr>
                <w:rFonts w:ascii="宋体" w:hAnsi="宋体" w:cs="宋体"/>
              </w:rPr>
            </w:pPr>
          </w:p>
        </w:tc>
        <w:tc>
          <w:tcPr>
            <w:tcW w:w="2001" w:type="dxa"/>
            <w:vAlign w:val="center"/>
          </w:tcPr>
          <w:p w14:paraId="1AC0735B">
            <w:pPr>
              <w:rPr>
                <w:rFonts w:ascii="宋体" w:hAnsi="宋体" w:cs="宋体"/>
              </w:rPr>
            </w:pPr>
            <w:r>
              <w:rPr>
                <w:rFonts w:hint="eastAsia" w:ascii="宋体" w:hAnsi="宋体" w:cs="宋体"/>
              </w:rPr>
              <w:t>拖动放大</w:t>
            </w:r>
          </w:p>
        </w:tc>
        <w:tc>
          <w:tcPr>
            <w:tcW w:w="4349" w:type="dxa"/>
            <w:vAlign w:val="center"/>
          </w:tcPr>
          <w:p w14:paraId="724FB40D">
            <w:pPr>
              <w:rPr>
                <w:rFonts w:ascii="宋体" w:hAnsi="宋体" w:cs="宋体"/>
              </w:rPr>
            </w:pPr>
            <w:r>
              <w:rPr>
                <w:rFonts w:hint="eastAsia" w:ascii="宋体" w:hAnsi="宋体" w:cs="宋体"/>
              </w:rPr>
              <w:t>按住鼠标右键可快速调节图像大小</w:t>
            </w:r>
          </w:p>
        </w:tc>
      </w:tr>
      <w:tr w14:paraId="39A07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521B60D8">
            <w:pPr>
              <w:ind w:firstLine="360"/>
              <w:jc w:val="center"/>
              <w:rPr>
                <w:rFonts w:ascii="宋体" w:hAnsi="宋体" w:cs="宋体"/>
              </w:rPr>
            </w:pPr>
          </w:p>
        </w:tc>
        <w:tc>
          <w:tcPr>
            <w:tcW w:w="1557" w:type="dxa"/>
            <w:vMerge w:val="continue"/>
            <w:vAlign w:val="center"/>
          </w:tcPr>
          <w:p w14:paraId="64D09D10">
            <w:pPr>
              <w:ind w:firstLine="360"/>
              <w:jc w:val="center"/>
              <w:rPr>
                <w:rFonts w:ascii="宋体" w:hAnsi="宋体" w:cs="宋体"/>
              </w:rPr>
            </w:pPr>
          </w:p>
        </w:tc>
        <w:tc>
          <w:tcPr>
            <w:tcW w:w="2001" w:type="dxa"/>
            <w:vAlign w:val="center"/>
          </w:tcPr>
          <w:p w14:paraId="69CA0A76">
            <w:pPr>
              <w:rPr>
                <w:rFonts w:ascii="宋体" w:hAnsi="宋体" w:cs="宋体"/>
              </w:rPr>
            </w:pPr>
            <w:r>
              <w:rPr>
                <w:rFonts w:hint="eastAsia" w:ascii="宋体" w:hAnsi="宋体" w:cs="宋体"/>
              </w:rPr>
              <w:t>放大</w:t>
            </w:r>
          </w:p>
        </w:tc>
        <w:tc>
          <w:tcPr>
            <w:tcW w:w="4349" w:type="dxa"/>
            <w:vAlign w:val="center"/>
          </w:tcPr>
          <w:p w14:paraId="5FE846D6">
            <w:pPr>
              <w:rPr>
                <w:rFonts w:ascii="宋体" w:hAnsi="宋体" w:cs="宋体"/>
              </w:rPr>
            </w:pPr>
            <w:r>
              <w:rPr>
                <w:rFonts w:hint="eastAsia" w:ascii="宋体" w:hAnsi="宋体" w:cs="宋体"/>
              </w:rPr>
              <w:t>图像整体逐级放大</w:t>
            </w:r>
          </w:p>
        </w:tc>
      </w:tr>
      <w:tr w14:paraId="373D5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2BA3A078">
            <w:pPr>
              <w:ind w:firstLine="360"/>
              <w:jc w:val="center"/>
              <w:rPr>
                <w:rFonts w:ascii="宋体" w:hAnsi="宋体" w:cs="宋体"/>
              </w:rPr>
            </w:pPr>
          </w:p>
        </w:tc>
        <w:tc>
          <w:tcPr>
            <w:tcW w:w="1557" w:type="dxa"/>
            <w:vMerge w:val="continue"/>
            <w:vAlign w:val="center"/>
          </w:tcPr>
          <w:p w14:paraId="640D1F68">
            <w:pPr>
              <w:ind w:firstLine="360"/>
              <w:jc w:val="center"/>
              <w:rPr>
                <w:rFonts w:ascii="宋体" w:hAnsi="宋体" w:cs="宋体"/>
              </w:rPr>
            </w:pPr>
          </w:p>
        </w:tc>
        <w:tc>
          <w:tcPr>
            <w:tcW w:w="2001" w:type="dxa"/>
            <w:vAlign w:val="center"/>
          </w:tcPr>
          <w:p w14:paraId="695F90E4">
            <w:pPr>
              <w:rPr>
                <w:rFonts w:ascii="宋体" w:hAnsi="宋体" w:cs="宋体"/>
              </w:rPr>
            </w:pPr>
            <w:r>
              <w:rPr>
                <w:rFonts w:hint="eastAsia" w:ascii="宋体" w:hAnsi="宋体" w:cs="宋体"/>
              </w:rPr>
              <w:t>反色</w:t>
            </w:r>
          </w:p>
        </w:tc>
        <w:tc>
          <w:tcPr>
            <w:tcW w:w="4349" w:type="dxa"/>
            <w:vAlign w:val="center"/>
          </w:tcPr>
          <w:p w14:paraId="29763F2D">
            <w:pPr>
              <w:rPr>
                <w:rFonts w:ascii="宋体" w:hAnsi="宋体" w:cs="宋体"/>
              </w:rPr>
            </w:pPr>
            <w:r>
              <w:rPr>
                <w:rFonts w:hint="eastAsia" w:ascii="宋体" w:hAnsi="宋体" w:cs="宋体"/>
              </w:rPr>
              <w:t>将图像以反色格式显示</w:t>
            </w:r>
          </w:p>
        </w:tc>
      </w:tr>
      <w:tr w14:paraId="40361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300C8E49">
            <w:pPr>
              <w:ind w:firstLine="360"/>
              <w:jc w:val="center"/>
              <w:rPr>
                <w:rFonts w:ascii="宋体" w:hAnsi="宋体" w:cs="宋体"/>
              </w:rPr>
            </w:pPr>
          </w:p>
        </w:tc>
        <w:tc>
          <w:tcPr>
            <w:tcW w:w="1557" w:type="dxa"/>
            <w:vMerge w:val="continue"/>
            <w:vAlign w:val="center"/>
          </w:tcPr>
          <w:p w14:paraId="337A6DF3">
            <w:pPr>
              <w:ind w:firstLine="360"/>
              <w:jc w:val="center"/>
              <w:rPr>
                <w:rFonts w:ascii="宋体" w:hAnsi="宋体" w:cs="宋体"/>
              </w:rPr>
            </w:pPr>
          </w:p>
        </w:tc>
        <w:tc>
          <w:tcPr>
            <w:tcW w:w="2001" w:type="dxa"/>
            <w:vAlign w:val="center"/>
          </w:tcPr>
          <w:p w14:paraId="0E824A4A">
            <w:pPr>
              <w:tabs>
                <w:tab w:val="left" w:pos="459"/>
                <w:tab w:val="center" w:pos="1196"/>
              </w:tabs>
              <w:rPr>
                <w:rFonts w:ascii="宋体" w:hAnsi="宋体" w:cs="宋体"/>
              </w:rPr>
            </w:pPr>
            <w:r>
              <w:rPr>
                <w:rFonts w:hint="eastAsia" w:ascii="宋体" w:hAnsi="宋体" w:cs="宋体"/>
              </w:rPr>
              <w:t>适应图像</w:t>
            </w:r>
          </w:p>
        </w:tc>
        <w:tc>
          <w:tcPr>
            <w:tcW w:w="4349" w:type="dxa"/>
            <w:vAlign w:val="center"/>
          </w:tcPr>
          <w:p w14:paraId="2AD0C112">
            <w:pPr>
              <w:rPr>
                <w:rFonts w:ascii="宋体" w:hAnsi="宋体" w:cs="宋体"/>
              </w:rPr>
            </w:pPr>
            <w:r>
              <w:rPr>
                <w:rFonts w:hint="eastAsia" w:ascii="宋体" w:hAnsi="宋体" w:cs="宋体"/>
              </w:rPr>
              <w:t>显示图片原始大小</w:t>
            </w:r>
          </w:p>
        </w:tc>
      </w:tr>
      <w:tr w14:paraId="01399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156C6DAD">
            <w:pPr>
              <w:ind w:firstLine="360"/>
              <w:jc w:val="center"/>
              <w:rPr>
                <w:rFonts w:ascii="宋体" w:hAnsi="宋体" w:cs="宋体"/>
              </w:rPr>
            </w:pPr>
          </w:p>
        </w:tc>
        <w:tc>
          <w:tcPr>
            <w:tcW w:w="1557" w:type="dxa"/>
            <w:vMerge w:val="continue"/>
            <w:vAlign w:val="center"/>
          </w:tcPr>
          <w:p w14:paraId="44D086E8">
            <w:pPr>
              <w:ind w:firstLine="360"/>
              <w:jc w:val="center"/>
              <w:rPr>
                <w:rFonts w:ascii="宋体" w:hAnsi="宋体" w:cs="宋体"/>
              </w:rPr>
            </w:pPr>
          </w:p>
        </w:tc>
        <w:tc>
          <w:tcPr>
            <w:tcW w:w="2001" w:type="dxa"/>
            <w:vAlign w:val="center"/>
          </w:tcPr>
          <w:p w14:paraId="097925F2">
            <w:pPr>
              <w:rPr>
                <w:rFonts w:ascii="宋体" w:hAnsi="宋体" w:cs="宋体"/>
              </w:rPr>
            </w:pPr>
            <w:r>
              <w:rPr>
                <w:rFonts w:hint="eastAsia" w:ascii="宋体" w:hAnsi="宋体" w:cs="宋体"/>
              </w:rPr>
              <w:t>水平镜像</w:t>
            </w:r>
          </w:p>
        </w:tc>
        <w:tc>
          <w:tcPr>
            <w:tcW w:w="4349" w:type="dxa"/>
            <w:vAlign w:val="center"/>
          </w:tcPr>
          <w:p w14:paraId="518127CC">
            <w:pPr>
              <w:rPr>
                <w:rFonts w:ascii="宋体" w:hAnsi="宋体" w:cs="宋体"/>
              </w:rPr>
            </w:pPr>
            <w:r>
              <w:rPr>
                <w:rFonts w:hint="eastAsia" w:ascii="宋体" w:hAnsi="宋体" w:cs="宋体"/>
              </w:rPr>
              <w:t>可对图像进行翻转操作，可对图像进行水平180度</w:t>
            </w:r>
            <w:r>
              <w:rPr>
                <w:rFonts w:hint="eastAsia" w:ascii="宋体" w:hAnsi="宋体" w:cs="宋体"/>
                <w:lang w:eastAsia="zh-CN"/>
              </w:rPr>
              <w:t>翻转</w:t>
            </w:r>
            <w:r>
              <w:rPr>
                <w:rFonts w:hint="eastAsia" w:ascii="宋体" w:hAnsi="宋体" w:cs="宋体"/>
              </w:rPr>
              <w:t>操作</w:t>
            </w:r>
          </w:p>
        </w:tc>
      </w:tr>
      <w:tr w14:paraId="5DD6B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1C24A515">
            <w:pPr>
              <w:ind w:firstLine="360"/>
              <w:jc w:val="center"/>
              <w:rPr>
                <w:rFonts w:ascii="宋体" w:hAnsi="宋体" w:cs="宋体"/>
              </w:rPr>
            </w:pPr>
          </w:p>
        </w:tc>
        <w:tc>
          <w:tcPr>
            <w:tcW w:w="1557" w:type="dxa"/>
            <w:vMerge w:val="continue"/>
            <w:vAlign w:val="center"/>
          </w:tcPr>
          <w:p w14:paraId="4E4EFB1D">
            <w:pPr>
              <w:ind w:firstLine="360"/>
              <w:jc w:val="center"/>
              <w:rPr>
                <w:rFonts w:ascii="宋体" w:hAnsi="宋体" w:cs="宋体"/>
              </w:rPr>
            </w:pPr>
          </w:p>
        </w:tc>
        <w:tc>
          <w:tcPr>
            <w:tcW w:w="2001" w:type="dxa"/>
            <w:vAlign w:val="center"/>
          </w:tcPr>
          <w:p w14:paraId="35FA10FB">
            <w:pPr>
              <w:rPr>
                <w:rFonts w:ascii="宋体" w:hAnsi="宋体" w:cs="宋体"/>
              </w:rPr>
            </w:pPr>
            <w:r>
              <w:rPr>
                <w:rFonts w:hint="eastAsia" w:ascii="宋体" w:hAnsi="宋体" w:cs="宋体"/>
              </w:rPr>
              <w:t>顺时针旋转</w:t>
            </w:r>
          </w:p>
        </w:tc>
        <w:tc>
          <w:tcPr>
            <w:tcW w:w="4349" w:type="dxa"/>
            <w:vAlign w:val="center"/>
          </w:tcPr>
          <w:p w14:paraId="58AFFBBB">
            <w:pPr>
              <w:rPr>
                <w:rFonts w:ascii="宋体" w:hAnsi="宋体" w:cs="宋体"/>
              </w:rPr>
            </w:pPr>
            <w:r>
              <w:rPr>
                <w:rFonts w:hint="eastAsia" w:ascii="宋体" w:hAnsi="宋体" w:cs="宋体"/>
              </w:rPr>
              <w:t>可对图像进行旋转操作，可对图像进行顺时针旋转90度操作</w:t>
            </w:r>
          </w:p>
        </w:tc>
      </w:tr>
      <w:tr w14:paraId="281D0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733AA480">
            <w:pPr>
              <w:ind w:firstLine="360"/>
              <w:jc w:val="center"/>
              <w:rPr>
                <w:rFonts w:ascii="宋体" w:hAnsi="宋体" w:cs="宋体"/>
              </w:rPr>
            </w:pPr>
          </w:p>
        </w:tc>
        <w:tc>
          <w:tcPr>
            <w:tcW w:w="1557" w:type="dxa"/>
            <w:vMerge w:val="continue"/>
            <w:vAlign w:val="center"/>
          </w:tcPr>
          <w:p w14:paraId="02DC23C9">
            <w:pPr>
              <w:ind w:firstLine="360"/>
              <w:jc w:val="center"/>
              <w:rPr>
                <w:rFonts w:ascii="宋体" w:hAnsi="宋体" w:cs="宋体"/>
              </w:rPr>
            </w:pPr>
          </w:p>
        </w:tc>
        <w:tc>
          <w:tcPr>
            <w:tcW w:w="2001" w:type="dxa"/>
            <w:vAlign w:val="center"/>
          </w:tcPr>
          <w:p w14:paraId="19DA6560">
            <w:pPr>
              <w:rPr>
                <w:rFonts w:ascii="宋体" w:hAnsi="宋体" w:cs="宋体"/>
              </w:rPr>
            </w:pPr>
            <w:r>
              <w:rPr>
                <w:rFonts w:hint="eastAsia" w:ascii="宋体" w:hAnsi="宋体" w:cs="宋体"/>
              </w:rPr>
              <w:t>查看信息</w:t>
            </w:r>
          </w:p>
        </w:tc>
        <w:tc>
          <w:tcPr>
            <w:tcW w:w="4349" w:type="dxa"/>
            <w:vAlign w:val="center"/>
          </w:tcPr>
          <w:p w14:paraId="692FB9ED">
            <w:pPr>
              <w:rPr>
                <w:rFonts w:ascii="宋体" w:hAnsi="宋体" w:cs="宋体"/>
              </w:rPr>
            </w:pPr>
            <w:r>
              <w:rPr>
                <w:rFonts w:hint="eastAsia" w:ascii="宋体" w:hAnsi="宋体" w:cs="宋体"/>
              </w:rPr>
              <w:t>查看影像的属性信息</w:t>
            </w:r>
          </w:p>
        </w:tc>
      </w:tr>
      <w:tr w14:paraId="64C40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415A0F7E">
            <w:pPr>
              <w:ind w:firstLine="360"/>
              <w:jc w:val="center"/>
              <w:rPr>
                <w:rFonts w:ascii="宋体" w:hAnsi="宋体" w:cs="宋体"/>
              </w:rPr>
            </w:pPr>
          </w:p>
        </w:tc>
        <w:tc>
          <w:tcPr>
            <w:tcW w:w="1557" w:type="dxa"/>
            <w:vMerge w:val="continue"/>
            <w:vAlign w:val="center"/>
          </w:tcPr>
          <w:p w14:paraId="58FD3EF7">
            <w:pPr>
              <w:ind w:firstLine="360"/>
              <w:jc w:val="center"/>
              <w:rPr>
                <w:rFonts w:ascii="宋体" w:hAnsi="宋体" w:cs="宋体"/>
              </w:rPr>
            </w:pPr>
          </w:p>
        </w:tc>
        <w:tc>
          <w:tcPr>
            <w:tcW w:w="2001" w:type="dxa"/>
            <w:vAlign w:val="center"/>
          </w:tcPr>
          <w:p w14:paraId="4167B26E">
            <w:pPr>
              <w:rPr>
                <w:rFonts w:ascii="宋体" w:hAnsi="宋体" w:cs="宋体"/>
              </w:rPr>
            </w:pPr>
            <w:r>
              <w:rPr>
                <w:rFonts w:hint="eastAsia" w:ascii="宋体" w:hAnsi="宋体" w:cs="宋体"/>
              </w:rPr>
              <w:t>标注</w:t>
            </w:r>
          </w:p>
        </w:tc>
        <w:tc>
          <w:tcPr>
            <w:tcW w:w="4349" w:type="dxa"/>
            <w:vAlign w:val="center"/>
          </w:tcPr>
          <w:p w14:paraId="30952E53">
            <w:pPr>
              <w:rPr>
                <w:rFonts w:ascii="宋体" w:hAnsi="宋体" w:cs="宋体"/>
              </w:rPr>
            </w:pPr>
            <w:r>
              <w:rPr>
                <w:rFonts w:hint="eastAsia" w:ascii="宋体" w:hAnsi="宋体" w:cs="宋体"/>
              </w:rPr>
              <w:t>对指定位置进行指向性标注</w:t>
            </w:r>
          </w:p>
        </w:tc>
      </w:tr>
      <w:tr w14:paraId="4F80B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18" w:type="dxa"/>
            <w:vMerge w:val="continue"/>
            <w:vAlign w:val="center"/>
          </w:tcPr>
          <w:p w14:paraId="4E064223">
            <w:pPr>
              <w:ind w:firstLine="360"/>
              <w:jc w:val="center"/>
              <w:rPr>
                <w:rFonts w:ascii="宋体" w:hAnsi="宋体" w:cs="宋体"/>
              </w:rPr>
            </w:pPr>
          </w:p>
        </w:tc>
        <w:tc>
          <w:tcPr>
            <w:tcW w:w="1557" w:type="dxa"/>
            <w:vMerge w:val="continue"/>
            <w:vAlign w:val="center"/>
          </w:tcPr>
          <w:p w14:paraId="21B6874C">
            <w:pPr>
              <w:ind w:firstLine="360"/>
              <w:jc w:val="center"/>
              <w:rPr>
                <w:rFonts w:ascii="宋体" w:hAnsi="宋体" w:cs="宋体"/>
              </w:rPr>
            </w:pPr>
          </w:p>
        </w:tc>
        <w:tc>
          <w:tcPr>
            <w:tcW w:w="2001" w:type="dxa"/>
            <w:vAlign w:val="center"/>
          </w:tcPr>
          <w:p w14:paraId="4FF7D032">
            <w:pPr>
              <w:rPr>
                <w:rFonts w:ascii="宋体" w:hAnsi="宋体" w:cs="宋体"/>
              </w:rPr>
            </w:pPr>
            <w:r>
              <w:rPr>
                <w:rFonts w:hint="eastAsia" w:ascii="宋体" w:hAnsi="宋体" w:cs="宋体"/>
              </w:rPr>
              <w:t>恢复</w:t>
            </w:r>
          </w:p>
        </w:tc>
        <w:tc>
          <w:tcPr>
            <w:tcW w:w="4349" w:type="dxa"/>
            <w:vAlign w:val="center"/>
          </w:tcPr>
          <w:p w14:paraId="3B3EE95D">
            <w:pPr>
              <w:rPr>
                <w:rFonts w:ascii="宋体" w:hAnsi="宋体" w:cs="宋体"/>
              </w:rPr>
            </w:pPr>
            <w:r>
              <w:rPr>
                <w:rFonts w:hint="eastAsia" w:ascii="宋体" w:hAnsi="宋体" w:cs="宋体"/>
              </w:rPr>
              <w:t>可清空图像上的相关标准，恢复图像的原始转状态</w:t>
            </w:r>
          </w:p>
        </w:tc>
      </w:tr>
      <w:tr w14:paraId="44AC3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5DF977F6">
            <w:pPr>
              <w:ind w:firstLine="360"/>
              <w:jc w:val="center"/>
              <w:rPr>
                <w:rFonts w:ascii="宋体" w:hAnsi="宋体" w:cs="宋体"/>
              </w:rPr>
            </w:pPr>
          </w:p>
        </w:tc>
        <w:tc>
          <w:tcPr>
            <w:tcW w:w="1557" w:type="dxa"/>
            <w:vMerge w:val="continue"/>
            <w:vAlign w:val="center"/>
          </w:tcPr>
          <w:p w14:paraId="5FC37F06">
            <w:pPr>
              <w:ind w:firstLine="360"/>
              <w:jc w:val="center"/>
              <w:rPr>
                <w:rFonts w:ascii="宋体" w:hAnsi="宋体" w:cs="宋体"/>
              </w:rPr>
            </w:pPr>
          </w:p>
        </w:tc>
        <w:tc>
          <w:tcPr>
            <w:tcW w:w="2001" w:type="dxa"/>
            <w:vAlign w:val="center"/>
          </w:tcPr>
          <w:p w14:paraId="013E7629">
            <w:pPr>
              <w:rPr>
                <w:rFonts w:ascii="宋体" w:hAnsi="宋体" w:cs="宋体"/>
              </w:rPr>
            </w:pPr>
            <w:r>
              <w:rPr>
                <w:rFonts w:hint="eastAsia" w:ascii="宋体" w:hAnsi="宋体" w:cs="宋体"/>
              </w:rPr>
              <w:t>移动</w:t>
            </w:r>
          </w:p>
        </w:tc>
        <w:tc>
          <w:tcPr>
            <w:tcW w:w="4349" w:type="dxa"/>
            <w:vAlign w:val="center"/>
          </w:tcPr>
          <w:p w14:paraId="19403D5E">
            <w:pPr>
              <w:rPr>
                <w:rFonts w:ascii="宋体" w:hAnsi="宋体" w:cs="宋体"/>
              </w:rPr>
            </w:pPr>
            <w:r>
              <w:rPr>
                <w:rFonts w:hint="eastAsia" w:ascii="宋体" w:hAnsi="宋体" w:cs="宋体"/>
              </w:rPr>
              <w:t>在图像上点击后拖动可移动图像的显示位置</w:t>
            </w:r>
          </w:p>
        </w:tc>
      </w:tr>
      <w:tr w14:paraId="16D6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57B5A93D">
            <w:pPr>
              <w:ind w:firstLine="360"/>
              <w:jc w:val="center"/>
              <w:rPr>
                <w:rFonts w:ascii="宋体" w:hAnsi="宋体" w:cs="宋体"/>
              </w:rPr>
            </w:pPr>
          </w:p>
        </w:tc>
        <w:tc>
          <w:tcPr>
            <w:tcW w:w="1557" w:type="dxa"/>
            <w:vMerge w:val="continue"/>
            <w:vAlign w:val="center"/>
          </w:tcPr>
          <w:p w14:paraId="1FBBDC85">
            <w:pPr>
              <w:ind w:firstLine="360"/>
              <w:jc w:val="center"/>
              <w:rPr>
                <w:rFonts w:ascii="宋体" w:hAnsi="宋体" w:cs="宋体"/>
              </w:rPr>
            </w:pPr>
          </w:p>
        </w:tc>
        <w:tc>
          <w:tcPr>
            <w:tcW w:w="2001" w:type="dxa"/>
            <w:vAlign w:val="center"/>
          </w:tcPr>
          <w:p w14:paraId="1ED76E9E">
            <w:pPr>
              <w:rPr>
                <w:rFonts w:ascii="宋体" w:hAnsi="宋体" w:cs="宋体"/>
              </w:rPr>
            </w:pPr>
            <w:r>
              <w:rPr>
                <w:rFonts w:hint="eastAsia" w:ascii="宋体" w:hAnsi="宋体" w:cs="宋体"/>
              </w:rPr>
              <w:t>放大镜</w:t>
            </w:r>
          </w:p>
        </w:tc>
        <w:tc>
          <w:tcPr>
            <w:tcW w:w="4349" w:type="dxa"/>
            <w:vAlign w:val="center"/>
          </w:tcPr>
          <w:p w14:paraId="2584EC60">
            <w:pPr>
              <w:rPr>
                <w:rFonts w:ascii="宋体" w:hAnsi="宋体" w:cs="宋体"/>
              </w:rPr>
            </w:pPr>
            <w:r>
              <w:rPr>
                <w:rFonts w:hint="eastAsia" w:ascii="宋体" w:hAnsi="宋体" w:cs="宋体"/>
              </w:rPr>
              <w:t>对指定位置进行局部放大</w:t>
            </w:r>
          </w:p>
        </w:tc>
      </w:tr>
      <w:tr w14:paraId="5878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13BE3AD8">
            <w:pPr>
              <w:ind w:firstLine="360"/>
              <w:jc w:val="center"/>
              <w:rPr>
                <w:rFonts w:ascii="宋体" w:hAnsi="宋体" w:cs="宋体"/>
              </w:rPr>
            </w:pPr>
          </w:p>
        </w:tc>
        <w:tc>
          <w:tcPr>
            <w:tcW w:w="1557" w:type="dxa"/>
            <w:vMerge w:val="continue"/>
            <w:vAlign w:val="center"/>
          </w:tcPr>
          <w:p w14:paraId="68B28329">
            <w:pPr>
              <w:ind w:firstLine="360"/>
              <w:jc w:val="center"/>
              <w:rPr>
                <w:rFonts w:ascii="宋体" w:hAnsi="宋体" w:cs="宋体"/>
              </w:rPr>
            </w:pPr>
          </w:p>
        </w:tc>
        <w:tc>
          <w:tcPr>
            <w:tcW w:w="2001" w:type="dxa"/>
            <w:vAlign w:val="center"/>
          </w:tcPr>
          <w:p w14:paraId="27202790">
            <w:pPr>
              <w:rPr>
                <w:rFonts w:ascii="宋体" w:hAnsi="宋体" w:cs="宋体"/>
              </w:rPr>
            </w:pPr>
            <w:r>
              <w:rPr>
                <w:rFonts w:hint="eastAsia" w:ascii="宋体" w:hAnsi="宋体" w:cs="宋体"/>
              </w:rPr>
              <w:t>缩小</w:t>
            </w:r>
          </w:p>
        </w:tc>
        <w:tc>
          <w:tcPr>
            <w:tcW w:w="4349" w:type="dxa"/>
            <w:vAlign w:val="center"/>
          </w:tcPr>
          <w:p w14:paraId="115B08F9">
            <w:pPr>
              <w:rPr>
                <w:rFonts w:ascii="宋体" w:hAnsi="宋体" w:cs="宋体"/>
              </w:rPr>
            </w:pPr>
            <w:r>
              <w:rPr>
                <w:rFonts w:hint="eastAsia" w:ascii="宋体" w:hAnsi="宋体" w:cs="宋体"/>
              </w:rPr>
              <w:t>对图像整体逐级缩小</w:t>
            </w:r>
          </w:p>
        </w:tc>
      </w:tr>
      <w:tr w14:paraId="0E69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752E9428">
            <w:pPr>
              <w:ind w:firstLine="360"/>
              <w:jc w:val="center"/>
              <w:rPr>
                <w:rFonts w:ascii="宋体" w:hAnsi="宋体" w:cs="宋体"/>
              </w:rPr>
            </w:pPr>
          </w:p>
        </w:tc>
        <w:tc>
          <w:tcPr>
            <w:tcW w:w="1557" w:type="dxa"/>
            <w:vMerge w:val="continue"/>
            <w:vAlign w:val="center"/>
          </w:tcPr>
          <w:p w14:paraId="46E9B957">
            <w:pPr>
              <w:ind w:firstLine="360"/>
              <w:jc w:val="center"/>
              <w:rPr>
                <w:rFonts w:ascii="宋体" w:hAnsi="宋体" w:cs="宋体"/>
              </w:rPr>
            </w:pPr>
          </w:p>
        </w:tc>
        <w:tc>
          <w:tcPr>
            <w:tcW w:w="2001" w:type="dxa"/>
            <w:vAlign w:val="center"/>
          </w:tcPr>
          <w:p w14:paraId="771FA0B9">
            <w:pPr>
              <w:rPr>
                <w:rFonts w:ascii="宋体" w:hAnsi="宋体" w:cs="宋体"/>
              </w:rPr>
            </w:pPr>
            <w:r>
              <w:rPr>
                <w:rFonts w:hint="eastAsia" w:ascii="宋体" w:hAnsi="宋体" w:cs="宋体"/>
              </w:rPr>
              <w:t>局域调窗</w:t>
            </w:r>
          </w:p>
        </w:tc>
        <w:tc>
          <w:tcPr>
            <w:tcW w:w="4349" w:type="dxa"/>
            <w:vAlign w:val="center"/>
          </w:tcPr>
          <w:p w14:paraId="7EFA8603">
            <w:pPr>
              <w:rPr>
                <w:rFonts w:ascii="宋体" w:hAnsi="宋体" w:cs="宋体"/>
              </w:rPr>
            </w:pPr>
            <w:r>
              <w:rPr>
                <w:rFonts w:hint="eastAsia" w:ascii="宋体" w:hAnsi="宋体" w:cs="宋体"/>
              </w:rPr>
              <w:t>从图像中选择一个图像区域，圈定该区域以进行进一步调节窗宽窗位</w:t>
            </w:r>
          </w:p>
        </w:tc>
      </w:tr>
      <w:tr w14:paraId="5F91A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320F8662">
            <w:pPr>
              <w:ind w:firstLine="360"/>
              <w:jc w:val="center"/>
              <w:rPr>
                <w:rFonts w:ascii="宋体" w:hAnsi="宋体" w:cs="宋体"/>
              </w:rPr>
            </w:pPr>
          </w:p>
        </w:tc>
        <w:tc>
          <w:tcPr>
            <w:tcW w:w="1557" w:type="dxa"/>
            <w:vMerge w:val="continue"/>
            <w:vAlign w:val="center"/>
          </w:tcPr>
          <w:p w14:paraId="06517477">
            <w:pPr>
              <w:ind w:firstLine="360"/>
              <w:jc w:val="center"/>
              <w:rPr>
                <w:rFonts w:ascii="宋体" w:hAnsi="宋体" w:cs="宋体"/>
              </w:rPr>
            </w:pPr>
          </w:p>
        </w:tc>
        <w:tc>
          <w:tcPr>
            <w:tcW w:w="2001" w:type="dxa"/>
            <w:vAlign w:val="center"/>
          </w:tcPr>
          <w:p w14:paraId="3B263B98">
            <w:pPr>
              <w:rPr>
                <w:rFonts w:ascii="宋体" w:hAnsi="宋体" w:cs="宋体"/>
              </w:rPr>
            </w:pPr>
            <w:r>
              <w:rPr>
                <w:rFonts w:hint="eastAsia" w:ascii="宋体" w:hAnsi="宋体" w:cs="宋体"/>
              </w:rPr>
              <w:t>适应窗口</w:t>
            </w:r>
          </w:p>
        </w:tc>
        <w:tc>
          <w:tcPr>
            <w:tcW w:w="4349" w:type="dxa"/>
            <w:vAlign w:val="center"/>
          </w:tcPr>
          <w:p w14:paraId="2DCB2D59">
            <w:pPr>
              <w:rPr>
                <w:rFonts w:ascii="宋体" w:hAnsi="宋体" w:cs="宋体"/>
              </w:rPr>
            </w:pPr>
            <w:r>
              <w:rPr>
                <w:rFonts w:hint="eastAsia" w:ascii="宋体" w:hAnsi="宋体" w:cs="宋体"/>
              </w:rPr>
              <w:t>调节图像大小以适应窗口大小</w:t>
            </w:r>
          </w:p>
        </w:tc>
      </w:tr>
      <w:tr w14:paraId="7E052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611A59A6">
            <w:pPr>
              <w:ind w:firstLine="360"/>
              <w:jc w:val="center"/>
              <w:rPr>
                <w:rFonts w:ascii="宋体" w:hAnsi="宋体" w:cs="宋体"/>
              </w:rPr>
            </w:pPr>
          </w:p>
        </w:tc>
        <w:tc>
          <w:tcPr>
            <w:tcW w:w="1557" w:type="dxa"/>
            <w:vMerge w:val="continue"/>
            <w:vAlign w:val="center"/>
          </w:tcPr>
          <w:p w14:paraId="16AFFE48">
            <w:pPr>
              <w:ind w:firstLine="360"/>
              <w:jc w:val="center"/>
              <w:rPr>
                <w:rFonts w:ascii="宋体" w:hAnsi="宋体" w:cs="宋体"/>
              </w:rPr>
            </w:pPr>
          </w:p>
        </w:tc>
        <w:tc>
          <w:tcPr>
            <w:tcW w:w="2001" w:type="dxa"/>
            <w:vAlign w:val="center"/>
          </w:tcPr>
          <w:p w14:paraId="5F8F4672">
            <w:pPr>
              <w:rPr>
                <w:rFonts w:ascii="宋体" w:hAnsi="宋体" w:cs="宋体"/>
              </w:rPr>
            </w:pPr>
            <w:r>
              <w:rPr>
                <w:rFonts w:hint="eastAsia" w:ascii="宋体" w:hAnsi="宋体" w:cs="宋体"/>
              </w:rPr>
              <w:t>垂直镜像</w:t>
            </w:r>
          </w:p>
        </w:tc>
        <w:tc>
          <w:tcPr>
            <w:tcW w:w="4349" w:type="dxa"/>
            <w:vAlign w:val="center"/>
          </w:tcPr>
          <w:p w14:paraId="39CA0BD3">
            <w:pPr>
              <w:rPr>
                <w:rFonts w:ascii="宋体" w:hAnsi="宋体" w:cs="宋体"/>
              </w:rPr>
            </w:pPr>
            <w:r>
              <w:rPr>
                <w:rFonts w:hint="eastAsia" w:ascii="宋体" w:hAnsi="宋体" w:cs="宋体"/>
              </w:rPr>
              <w:t>可对图像进行翻转操作，可对图像进行垂直180度翻转操作</w:t>
            </w:r>
          </w:p>
        </w:tc>
      </w:tr>
      <w:tr w14:paraId="2D96B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Merge w:val="continue"/>
            <w:vAlign w:val="center"/>
          </w:tcPr>
          <w:p w14:paraId="011F6377">
            <w:pPr>
              <w:ind w:firstLine="360"/>
              <w:jc w:val="center"/>
              <w:rPr>
                <w:rFonts w:ascii="宋体" w:hAnsi="宋体" w:cs="宋体"/>
              </w:rPr>
            </w:pPr>
          </w:p>
        </w:tc>
        <w:tc>
          <w:tcPr>
            <w:tcW w:w="1557" w:type="dxa"/>
            <w:vMerge w:val="continue"/>
            <w:vAlign w:val="center"/>
          </w:tcPr>
          <w:p w14:paraId="49A233DD">
            <w:pPr>
              <w:ind w:firstLine="360"/>
              <w:jc w:val="center"/>
              <w:rPr>
                <w:rFonts w:ascii="宋体" w:hAnsi="宋体" w:cs="宋体"/>
              </w:rPr>
            </w:pPr>
          </w:p>
        </w:tc>
        <w:tc>
          <w:tcPr>
            <w:tcW w:w="2001" w:type="dxa"/>
            <w:vAlign w:val="center"/>
          </w:tcPr>
          <w:p w14:paraId="1E1DC350">
            <w:pPr>
              <w:rPr>
                <w:rFonts w:ascii="宋体" w:hAnsi="宋体" w:cs="宋体"/>
              </w:rPr>
            </w:pPr>
            <w:r>
              <w:rPr>
                <w:rFonts w:hint="eastAsia" w:ascii="宋体" w:hAnsi="宋体" w:cs="宋体"/>
              </w:rPr>
              <w:t>逆时针旋转</w:t>
            </w:r>
          </w:p>
        </w:tc>
        <w:tc>
          <w:tcPr>
            <w:tcW w:w="4349" w:type="dxa"/>
            <w:vAlign w:val="center"/>
          </w:tcPr>
          <w:p w14:paraId="36CE8359">
            <w:pPr>
              <w:rPr>
                <w:rFonts w:ascii="宋体" w:hAnsi="宋体" w:cs="宋体"/>
              </w:rPr>
            </w:pPr>
            <w:r>
              <w:rPr>
                <w:rFonts w:hint="eastAsia" w:ascii="宋体" w:hAnsi="宋体" w:cs="宋体"/>
              </w:rPr>
              <w:t>对图像进行旋转操作，可对图像进行逆时针旋转90度操作</w:t>
            </w:r>
          </w:p>
        </w:tc>
      </w:tr>
      <w:tr w14:paraId="55C91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Align w:val="center"/>
          </w:tcPr>
          <w:p w14:paraId="05A1B28B">
            <w:pPr>
              <w:rPr>
                <w:rFonts w:ascii="宋体" w:hAnsi="宋体" w:cs="宋体"/>
              </w:rPr>
            </w:pPr>
            <w:r>
              <w:rPr>
                <w:rFonts w:hint="eastAsia" w:ascii="宋体" w:hAnsi="宋体" w:cs="宋体"/>
              </w:rPr>
              <w:t>5</w:t>
            </w:r>
          </w:p>
        </w:tc>
        <w:tc>
          <w:tcPr>
            <w:tcW w:w="3558" w:type="dxa"/>
            <w:gridSpan w:val="2"/>
            <w:vAlign w:val="center"/>
          </w:tcPr>
          <w:p w14:paraId="16C040BD">
            <w:pPr>
              <w:rPr>
                <w:rFonts w:ascii="宋体" w:hAnsi="宋体" w:cs="宋体"/>
              </w:rPr>
            </w:pPr>
            <w:r>
              <w:rPr>
                <w:rFonts w:hint="eastAsia" w:ascii="宋体" w:hAnsi="宋体" w:cs="宋体"/>
              </w:rPr>
              <w:t>设备对接</w:t>
            </w:r>
          </w:p>
        </w:tc>
        <w:tc>
          <w:tcPr>
            <w:tcW w:w="4349" w:type="dxa"/>
            <w:vAlign w:val="center"/>
          </w:tcPr>
          <w:p w14:paraId="4E74A1D0">
            <w:pPr>
              <w:rPr>
                <w:rFonts w:ascii="宋体" w:hAnsi="宋体" w:cs="宋体"/>
              </w:rPr>
            </w:pPr>
            <w:r>
              <w:rPr>
                <w:rFonts w:hint="eastAsia" w:ascii="宋体" w:hAnsi="宋体" w:cs="宋体"/>
              </w:rPr>
              <w:t>系统需要完成目前眼科检查设备对接，实现数据互通，对于具备DICOM接口能力的检查设备，需要实现DICOM传输。</w:t>
            </w:r>
          </w:p>
        </w:tc>
      </w:tr>
      <w:tr w14:paraId="08CDC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18" w:type="dxa"/>
            <w:vAlign w:val="center"/>
          </w:tcPr>
          <w:p w14:paraId="2E21D9E2">
            <w:pPr>
              <w:rPr>
                <w:rFonts w:ascii="宋体" w:hAnsi="宋体" w:cs="宋体"/>
              </w:rPr>
            </w:pPr>
            <w:r>
              <w:rPr>
                <w:rFonts w:hint="eastAsia" w:ascii="宋体" w:hAnsi="宋体" w:cs="宋体"/>
              </w:rPr>
              <w:t>6</w:t>
            </w:r>
          </w:p>
        </w:tc>
        <w:tc>
          <w:tcPr>
            <w:tcW w:w="3558" w:type="dxa"/>
            <w:gridSpan w:val="2"/>
            <w:vAlign w:val="center"/>
          </w:tcPr>
          <w:p w14:paraId="6643C059">
            <w:pPr>
              <w:rPr>
                <w:rFonts w:ascii="宋体" w:hAnsi="宋体" w:cs="宋体"/>
              </w:rPr>
            </w:pPr>
            <w:r>
              <w:rPr>
                <w:rFonts w:hint="eastAsia" w:ascii="宋体" w:hAnsi="宋体" w:cs="宋体"/>
              </w:rPr>
              <w:t>开放接口</w:t>
            </w:r>
          </w:p>
        </w:tc>
        <w:tc>
          <w:tcPr>
            <w:tcW w:w="4349" w:type="dxa"/>
            <w:vAlign w:val="center"/>
          </w:tcPr>
          <w:p w14:paraId="47378C8E">
            <w:pPr>
              <w:rPr>
                <w:rFonts w:ascii="宋体" w:hAnsi="宋体" w:cs="宋体"/>
              </w:rPr>
            </w:pPr>
            <w:r>
              <w:rPr>
                <w:rFonts w:hint="eastAsia" w:ascii="宋体" w:hAnsi="宋体" w:cs="宋体"/>
              </w:rPr>
              <w:t>提供接口供其他系统应用平台调用，便于访问眼科采集的影像数据</w:t>
            </w:r>
          </w:p>
        </w:tc>
      </w:tr>
    </w:tbl>
    <w:p w14:paraId="2D7C45FB">
      <w:pPr>
        <w:pStyle w:val="4"/>
      </w:pPr>
      <w:r>
        <w:t>接口</w:t>
      </w:r>
    </w:p>
    <w:tbl>
      <w:tblPr>
        <w:tblStyle w:val="19"/>
        <w:tblW w:w="8300"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9"/>
        <w:gridCol w:w="1542"/>
        <w:gridCol w:w="6299"/>
      </w:tblGrid>
      <w:tr w14:paraId="1E61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459" w:type="dxa"/>
            <w:vAlign w:val="center"/>
          </w:tcPr>
          <w:p w14:paraId="584338A5">
            <w:pPr>
              <w:jc w:val="center"/>
              <w:rPr>
                <w:rFonts w:ascii="宋体" w:hAnsi="宋体" w:cs="宋体"/>
                <w:color w:val="000000"/>
              </w:rPr>
            </w:pPr>
            <w:r>
              <w:rPr>
                <w:rFonts w:hint="eastAsia" w:ascii="宋体" w:hAnsi="宋体" w:cs="宋体"/>
                <w:color w:val="000000"/>
                <w:lang w:bidi="ne-NP"/>
              </w:rPr>
              <w:t>序号</w:t>
            </w:r>
          </w:p>
        </w:tc>
        <w:tc>
          <w:tcPr>
            <w:tcW w:w="1542" w:type="dxa"/>
            <w:vAlign w:val="center"/>
          </w:tcPr>
          <w:p w14:paraId="18FA96F0">
            <w:pPr>
              <w:jc w:val="center"/>
              <w:rPr>
                <w:rFonts w:ascii="宋体" w:hAnsi="宋体" w:cs="宋体"/>
                <w:color w:val="000000"/>
              </w:rPr>
            </w:pPr>
            <w:r>
              <w:rPr>
                <w:rFonts w:hint="eastAsia" w:ascii="宋体" w:hAnsi="宋体" w:cs="宋体"/>
                <w:color w:val="000000"/>
                <w:lang w:bidi="ne-NP"/>
              </w:rPr>
              <w:t>功能/性能</w:t>
            </w:r>
          </w:p>
        </w:tc>
        <w:tc>
          <w:tcPr>
            <w:tcW w:w="6299" w:type="dxa"/>
            <w:vAlign w:val="center"/>
          </w:tcPr>
          <w:p w14:paraId="23B2B60D">
            <w:pPr>
              <w:jc w:val="center"/>
              <w:rPr>
                <w:rFonts w:ascii="宋体" w:hAnsi="宋体" w:cs="宋体"/>
                <w:color w:val="000000"/>
                <w:lang w:bidi="ne-NP"/>
              </w:rPr>
            </w:pPr>
            <w:r>
              <w:rPr>
                <w:rFonts w:hint="eastAsia" w:ascii="宋体" w:hAnsi="宋体" w:cs="宋体"/>
                <w:color w:val="000000"/>
                <w:lang w:bidi="ne-NP"/>
              </w:rPr>
              <w:t>具体要求</w:t>
            </w:r>
          </w:p>
        </w:tc>
      </w:tr>
      <w:tr w14:paraId="7B9C8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459" w:type="dxa"/>
            <w:vMerge w:val="restart"/>
            <w:vAlign w:val="center"/>
          </w:tcPr>
          <w:p w14:paraId="4D736ED8">
            <w:pPr>
              <w:rPr>
                <w:rFonts w:ascii="宋体" w:hAnsi="宋体" w:cs="宋体"/>
                <w:color w:val="000000"/>
              </w:rPr>
            </w:pPr>
            <w:r>
              <w:rPr>
                <w:rFonts w:hint="eastAsia" w:ascii="宋体" w:hAnsi="宋体" w:cs="宋体"/>
                <w:color w:val="000000"/>
              </w:rPr>
              <w:t>1</w:t>
            </w:r>
          </w:p>
        </w:tc>
        <w:tc>
          <w:tcPr>
            <w:tcW w:w="1542" w:type="dxa"/>
            <w:vMerge w:val="restart"/>
            <w:vAlign w:val="center"/>
          </w:tcPr>
          <w:p w14:paraId="6105EA6C">
            <w:pPr>
              <w:rPr>
                <w:rFonts w:ascii="宋体" w:hAnsi="宋体" w:cs="宋体"/>
                <w:color w:val="000000"/>
              </w:rPr>
            </w:pPr>
            <w:r>
              <w:rPr>
                <w:rFonts w:hint="eastAsia" w:ascii="宋体" w:hAnsi="宋体" w:cs="宋体"/>
                <w:color w:val="000000"/>
              </w:rPr>
              <w:t>系统接口</w:t>
            </w:r>
          </w:p>
        </w:tc>
        <w:tc>
          <w:tcPr>
            <w:tcW w:w="6299" w:type="dxa"/>
            <w:vAlign w:val="center"/>
          </w:tcPr>
          <w:p w14:paraId="42EB341A">
            <w:pPr>
              <w:widowControl/>
              <w:rPr>
                <w:rFonts w:ascii="宋体" w:hAnsi="宋体" w:cs="宋体"/>
                <w:color w:val="000000"/>
              </w:rPr>
            </w:pPr>
            <w:r>
              <w:rPr>
                <w:rFonts w:hint="eastAsia" w:ascii="宋体" w:hAnsi="宋体" w:cs="宋体"/>
              </w:rPr>
              <w:t>实现与HIS、LIS、PACS、EMR等医院现有系统或集成平台进行数据互联互通。</w:t>
            </w:r>
          </w:p>
        </w:tc>
      </w:tr>
      <w:tr w14:paraId="79751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459" w:type="dxa"/>
            <w:vMerge w:val="continue"/>
            <w:vAlign w:val="center"/>
          </w:tcPr>
          <w:p w14:paraId="5317183E">
            <w:pPr>
              <w:ind w:firstLine="360"/>
              <w:jc w:val="center"/>
              <w:rPr>
                <w:rFonts w:ascii="宋体" w:hAnsi="宋体" w:cs="宋体"/>
                <w:color w:val="000000"/>
              </w:rPr>
            </w:pPr>
          </w:p>
        </w:tc>
        <w:tc>
          <w:tcPr>
            <w:tcW w:w="1542" w:type="dxa"/>
            <w:vMerge w:val="continue"/>
            <w:vAlign w:val="center"/>
          </w:tcPr>
          <w:p w14:paraId="4CC6B801">
            <w:pPr>
              <w:ind w:firstLine="360"/>
              <w:jc w:val="center"/>
              <w:rPr>
                <w:rFonts w:ascii="宋体" w:hAnsi="宋体" w:cs="宋体"/>
                <w:color w:val="000000"/>
              </w:rPr>
            </w:pPr>
          </w:p>
        </w:tc>
        <w:tc>
          <w:tcPr>
            <w:tcW w:w="6299" w:type="dxa"/>
            <w:vAlign w:val="center"/>
          </w:tcPr>
          <w:p w14:paraId="72975525">
            <w:pPr>
              <w:widowControl/>
              <w:rPr>
                <w:rFonts w:ascii="宋体" w:hAnsi="宋体" w:cs="宋体"/>
              </w:rPr>
            </w:pPr>
            <w:r>
              <w:rPr>
                <w:rFonts w:hint="eastAsia" w:ascii="宋体" w:hAnsi="宋体" w:cs="宋体"/>
              </w:rPr>
              <w:t>提供标准接口，便于其他系统调用眼科检查系统采集的影像和报告数据</w:t>
            </w:r>
          </w:p>
        </w:tc>
      </w:tr>
    </w:tbl>
    <w:p w14:paraId="5F150D7A">
      <w:pPr>
        <w:pStyle w:val="3"/>
        <w:bidi w:val="0"/>
        <w:ind w:left="0" w:leftChars="0" w:firstLine="0" w:firstLineChars="0"/>
        <w:rPr>
          <w:rFonts w:hint="default"/>
          <w:color w:val="FF0000"/>
          <w:lang w:val="en-US" w:eastAsia="zh-CN"/>
        </w:rPr>
      </w:pPr>
      <w:r>
        <w:rPr>
          <w:rFonts w:hint="eastAsia"/>
          <w:color w:val="FF0000"/>
          <w:lang w:val="en-US" w:eastAsia="zh-CN"/>
        </w:rPr>
        <w:t xml:space="preserve"> </w:t>
      </w:r>
      <w:r>
        <w:rPr>
          <w:rFonts w:hint="eastAsia"/>
          <w:color w:val="auto"/>
          <w:lang w:val="en-US" w:eastAsia="zh-CN"/>
        </w:rPr>
        <w:t>资源配置要求</w:t>
      </w:r>
    </w:p>
    <w:p w14:paraId="2E028C54">
      <w:pPr>
        <w:pStyle w:val="23"/>
        <w:bidi w:val="0"/>
        <w:rPr>
          <w:rFonts w:hint="eastAsia"/>
        </w:rPr>
      </w:pPr>
      <w:r>
        <w:rPr>
          <w:rFonts w:hint="eastAsia"/>
          <w:lang w:val="en-US" w:eastAsia="zh-CN"/>
        </w:rPr>
        <w:t>供应商应结合自身产品架构及项目实际使用需求，向采购人提供本项目实施所需服务器、操作系统、数据库的使用权，使用期限自项目最终验收合格之日起不少于 3 年。本项目涉及的中央处理器、操作系统、数据库产品，必须列入中国信息安全测评中心或国家保密科技测评中心发布的安全可靠测评结果公告名单。</w:t>
      </w:r>
    </w:p>
    <w:p w14:paraId="2A01FD36">
      <w:pPr>
        <w:numPr>
          <w:ilvl w:val="0"/>
          <w:numId w:val="0"/>
        </w:numPr>
        <w:ind w:left="0" w:leftChars="0" w:firstLine="480" w:firstLineChars="200"/>
        <w:rPr>
          <w:rFonts w:hint="eastAsia"/>
        </w:rPr>
      </w:pPr>
      <w:r>
        <w:rPr>
          <w:rFonts w:hint="eastAsia"/>
          <w:lang w:val="en-US" w:eastAsia="zh-CN"/>
        </w:rPr>
        <w:t>在本项目运维服务周期内，若出现计算、存储等系统资源不足，无法满足业务正常运行的，供应商须无偿对系统资源进行补充、扩容扩展，上述全部相关费用已包含在本项目总报价中，采购人无需另行支付任何费用。</w:t>
      </w:r>
    </w:p>
    <w:p w14:paraId="7FBE8270">
      <w:pPr>
        <w:pStyle w:val="3"/>
        <w:bidi w:val="0"/>
        <w:ind w:left="0" w:leftChars="0" w:firstLine="0" w:firstLineChars="0"/>
        <w:rPr>
          <w:rFonts w:hint="default"/>
          <w:color w:val="FF0000"/>
          <w:lang w:val="en-US" w:eastAsia="zh-CN"/>
        </w:rPr>
      </w:pPr>
      <w:r>
        <w:rPr>
          <w:rFonts w:hint="eastAsia"/>
          <w:color w:val="FF0000"/>
          <w:lang w:val="en-US" w:eastAsia="zh-CN"/>
        </w:rPr>
        <w:t xml:space="preserve"> </w:t>
      </w:r>
      <w:r>
        <w:rPr>
          <w:rFonts w:hint="eastAsia"/>
          <w:color w:val="auto"/>
          <w:lang w:val="en-US" w:eastAsia="zh-CN"/>
        </w:rPr>
        <w:t>其他</w:t>
      </w:r>
    </w:p>
    <w:p w14:paraId="6EBD9879">
      <w:pPr>
        <w:bidi w:val="0"/>
        <w:ind w:firstLine="480" w:firstLineChars="200"/>
        <w:rPr>
          <w:rFonts w:hint="eastAsia"/>
        </w:rPr>
      </w:pPr>
      <w:r>
        <w:rPr>
          <w:rFonts w:hint="eastAsia"/>
        </w:rPr>
        <w:t>实现现有设备（包含软硬件）接入医院</w:t>
      </w:r>
      <w:r>
        <w:rPr>
          <w:rFonts w:hint="eastAsia"/>
          <w:lang w:val="en-US" w:eastAsia="zh-CN"/>
        </w:rPr>
        <w:t>眼科</w:t>
      </w:r>
      <w:r>
        <w:rPr>
          <w:rFonts w:hint="eastAsia"/>
        </w:rPr>
        <w:t>系统，验收合格之日起</w:t>
      </w:r>
      <w:r>
        <w:rPr>
          <w:rFonts w:hint="eastAsia"/>
          <w:lang w:val="en-US" w:eastAsia="zh-CN"/>
        </w:rPr>
        <w:t>的3年内</w:t>
      </w:r>
      <w:r>
        <w:rPr>
          <w:rFonts w:hint="eastAsia"/>
        </w:rPr>
        <w:t>免费接入新设备（包含软硬件）。</w:t>
      </w:r>
    </w:p>
    <w:p w14:paraId="1A436516">
      <w:pPr>
        <w:bidi w:val="0"/>
        <w:ind w:firstLine="480" w:firstLineChars="200"/>
        <w:rPr>
          <w:rFonts w:hint="eastAsia"/>
        </w:rPr>
      </w:pPr>
      <w:r>
        <w:rPr>
          <w:rFonts w:hint="eastAsia"/>
        </w:rPr>
        <w:t>接入系统设备清单（包括但不限于以下设备）：</w:t>
      </w:r>
    </w:p>
    <w:tbl>
      <w:tblPr>
        <w:tblStyle w:val="19"/>
        <w:tblW w:w="8784" w:type="dxa"/>
        <w:tblInd w:w="0" w:type="dxa"/>
        <w:tblLayout w:type="fixed"/>
        <w:tblCellMar>
          <w:top w:w="0" w:type="dxa"/>
          <w:left w:w="108" w:type="dxa"/>
          <w:bottom w:w="0" w:type="dxa"/>
          <w:right w:w="108" w:type="dxa"/>
        </w:tblCellMar>
      </w:tblPr>
      <w:tblGrid>
        <w:gridCol w:w="3052"/>
        <w:gridCol w:w="2835"/>
        <w:gridCol w:w="1688"/>
        <w:gridCol w:w="1209"/>
      </w:tblGrid>
      <w:tr w14:paraId="7AD4847B">
        <w:tblPrEx>
          <w:tblCellMar>
            <w:top w:w="0" w:type="dxa"/>
            <w:left w:w="108" w:type="dxa"/>
            <w:bottom w:w="0" w:type="dxa"/>
            <w:right w:w="108" w:type="dxa"/>
          </w:tblCellMar>
        </w:tblPrEx>
        <w:trPr>
          <w:trHeight w:val="286" w:hRule="atLeast"/>
        </w:trPr>
        <w:tc>
          <w:tcPr>
            <w:tcW w:w="3052" w:type="dxa"/>
            <w:tcBorders>
              <w:top w:val="single" w:color="auto" w:sz="4" w:space="0"/>
              <w:left w:val="single" w:color="auto" w:sz="4" w:space="0"/>
              <w:bottom w:val="single" w:color="auto" w:sz="4" w:space="0"/>
              <w:right w:val="single" w:color="auto" w:sz="4" w:space="0"/>
            </w:tcBorders>
            <w:vAlign w:val="bottom"/>
          </w:tcPr>
          <w:p w14:paraId="7A8F5450">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设备名称</w:t>
            </w:r>
          </w:p>
        </w:tc>
        <w:tc>
          <w:tcPr>
            <w:tcW w:w="2835" w:type="dxa"/>
            <w:tcBorders>
              <w:top w:val="single" w:color="auto" w:sz="4" w:space="0"/>
              <w:left w:val="nil"/>
              <w:bottom w:val="single" w:color="auto" w:sz="4" w:space="0"/>
              <w:right w:val="single" w:color="auto" w:sz="4" w:space="0"/>
            </w:tcBorders>
            <w:vAlign w:val="bottom"/>
          </w:tcPr>
          <w:p w14:paraId="67A272BA">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型号</w:t>
            </w:r>
          </w:p>
        </w:tc>
        <w:tc>
          <w:tcPr>
            <w:tcW w:w="1688" w:type="dxa"/>
            <w:tcBorders>
              <w:top w:val="single" w:color="auto" w:sz="4" w:space="0"/>
              <w:left w:val="nil"/>
              <w:bottom w:val="single" w:color="auto" w:sz="4" w:space="0"/>
              <w:right w:val="single" w:color="auto" w:sz="4" w:space="0"/>
            </w:tcBorders>
            <w:vAlign w:val="bottom"/>
          </w:tcPr>
          <w:p w14:paraId="5E18388A">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生产厂家</w:t>
            </w:r>
          </w:p>
        </w:tc>
        <w:tc>
          <w:tcPr>
            <w:tcW w:w="1209" w:type="dxa"/>
            <w:tcBorders>
              <w:top w:val="single" w:color="auto" w:sz="4" w:space="0"/>
              <w:left w:val="nil"/>
              <w:bottom w:val="single" w:color="auto" w:sz="4" w:space="0"/>
              <w:right w:val="single" w:color="auto" w:sz="4" w:space="0"/>
            </w:tcBorders>
            <w:vAlign w:val="bottom"/>
          </w:tcPr>
          <w:p w14:paraId="623DE058">
            <w:pPr>
              <w:widowControl/>
              <w:jc w:val="center"/>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数量</w:t>
            </w:r>
          </w:p>
        </w:tc>
      </w:tr>
      <w:tr w14:paraId="403B587B">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45EB4DD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全自动综合验光仪</w:t>
            </w:r>
          </w:p>
        </w:tc>
        <w:tc>
          <w:tcPr>
            <w:tcW w:w="2835" w:type="dxa"/>
            <w:tcBorders>
              <w:top w:val="nil"/>
              <w:left w:val="nil"/>
              <w:bottom w:val="single" w:color="auto" w:sz="4" w:space="0"/>
              <w:right w:val="single" w:color="auto" w:sz="4" w:space="0"/>
            </w:tcBorders>
            <w:vAlign w:val="bottom"/>
          </w:tcPr>
          <w:p w14:paraId="6F15B4A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CV-5000+MC</w:t>
            </w:r>
          </w:p>
        </w:tc>
        <w:tc>
          <w:tcPr>
            <w:tcW w:w="1688" w:type="dxa"/>
            <w:tcBorders>
              <w:top w:val="nil"/>
              <w:left w:val="nil"/>
              <w:bottom w:val="single" w:color="auto" w:sz="4" w:space="0"/>
              <w:right w:val="single" w:color="auto" w:sz="4" w:space="0"/>
            </w:tcBorders>
            <w:vAlign w:val="bottom"/>
          </w:tcPr>
          <w:p w14:paraId="2EBF4C9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拓普康</w:t>
            </w:r>
          </w:p>
        </w:tc>
        <w:tc>
          <w:tcPr>
            <w:tcW w:w="1209" w:type="dxa"/>
            <w:tcBorders>
              <w:top w:val="nil"/>
              <w:left w:val="nil"/>
              <w:bottom w:val="single" w:color="auto" w:sz="4" w:space="0"/>
              <w:right w:val="single" w:color="auto" w:sz="4" w:space="0"/>
            </w:tcBorders>
            <w:vAlign w:val="bottom"/>
          </w:tcPr>
          <w:p w14:paraId="7BE94CFC">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14:paraId="61A70590">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3FBE471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电脑验光仪</w:t>
            </w:r>
          </w:p>
        </w:tc>
        <w:tc>
          <w:tcPr>
            <w:tcW w:w="2835" w:type="dxa"/>
            <w:tcBorders>
              <w:top w:val="nil"/>
              <w:left w:val="nil"/>
              <w:bottom w:val="single" w:color="auto" w:sz="4" w:space="0"/>
              <w:right w:val="single" w:color="auto" w:sz="4" w:space="0"/>
            </w:tcBorders>
            <w:vAlign w:val="bottom"/>
          </w:tcPr>
          <w:p w14:paraId="01BB1AF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ARK-510A</w:t>
            </w:r>
          </w:p>
        </w:tc>
        <w:tc>
          <w:tcPr>
            <w:tcW w:w="1688" w:type="dxa"/>
            <w:tcBorders>
              <w:top w:val="nil"/>
              <w:left w:val="nil"/>
              <w:bottom w:val="single" w:color="auto" w:sz="4" w:space="0"/>
              <w:right w:val="single" w:color="auto" w:sz="4" w:space="0"/>
            </w:tcBorders>
            <w:vAlign w:val="bottom"/>
          </w:tcPr>
          <w:p w14:paraId="02068A7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NIDEK</w:t>
            </w:r>
          </w:p>
        </w:tc>
        <w:tc>
          <w:tcPr>
            <w:tcW w:w="1209" w:type="dxa"/>
            <w:tcBorders>
              <w:top w:val="nil"/>
              <w:left w:val="nil"/>
              <w:bottom w:val="single" w:color="auto" w:sz="4" w:space="0"/>
              <w:right w:val="single" w:color="auto" w:sz="4" w:space="0"/>
            </w:tcBorders>
            <w:vAlign w:val="bottom"/>
          </w:tcPr>
          <w:p w14:paraId="4FFAC010">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14:paraId="05015FA9">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5F8D631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非接触式眼压计</w:t>
            </w:r>
          </w:p>
        </w:tc>
        <w:tc>
          <w:tcPr>
            <w:tcW w:w="2835" w:type="dxa"/>
            <w:tcBorders>
              <w:top w:val="nil"/>
              <w:left w:val="nil"/>
              <w:bottom w:val="single" w:color="auto" w:sz="4" w:space="0"/>
              <w:right w:val="single" w:color="auto" w:sz="4" w:space="0"/>
            </w:tcBorders>
            <w:vAlign w:val="bottom"/>
          </w:tcPr>
          <w:p w14:paraId="4E204EC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CT-1P</w:t>
            </w:r>
          </w:p>
        </w:tc>
        <w:tc>
          <w:tcPr>
            <w:tcW w:w="1688" w:type="dxa"/>
            <w:tcBorders>
              <w:top w:val="nil"/>
              <w:left w:val="nil"/>
              <w:bottom w:val="single" w:color="auto" w:sz="4" w:space="0"/>
              <w:right w:val="single" w:color="auto" w:sz="4" w:space="0"/>
            </w:tcBorders>
            <w:vAlign w:val="bottom"/>
          </w:tcPr>
          <w:p w14:paraId="487A790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拓普康</w:t>
            </w:r>
          </w:p>
        </w:tc>
        <w:tc>
          <w:tcPr>
            <w:tcW w:w="1209" w:type="dxa"/>
            <w:tcBorders>
              <w:top w:val="nil"/>
              <w:left w:val="nil"/>
              <w:bottom w:val="single" w:color="auto" w:sz="4" w:space="0"/>
              <w:right w:val="single" w:color="auto" w:sz="4" w:space="0"/>
            </w:tcBorders>
            <w:vAlign w:val="bottom"/>
          </w:tcPr>
          <w:p w14:paraId="1D8150B1">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32A1B6EB">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20BF833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视觉质量分析系统</w:t>
            </w:r>
          </w:p>
        </w:tc>
        <w:tc>
          <w:tcPr>
            <w:tcW w:w="2835" w:type="dxa"/>
            <w:tcBorders>
              <w:top w:val="nil"/>
              <w:left w:val="nil"/>
              <w:bottom w:val="single" w:color="auto" w:sz="4" w:space="0"/>
              <w:right w:val="single" w:color="auto" w:sz="4" w:space="0"/>
            </w:tcBorders>
            <w:vAlign w:val="bottom"/>
          </w:tcPr>
          <w:p w14:paraId="6E192D3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PENTACAM.AXL-70100</w:t>
            </w:r>
          </w:p>
        </w:tc>
        <w:tc>
          <w:tcPr>
            <w:tcW w:w="1688" w:type="dxa"/>
            <w:tcBorders>
              <w:top w:val="nil"/>
              <w:left w:val="nil"/>
              <w:bottom w:val="single" w:color="auto" w:sz="4" w:space="0"/>
              <w:right w:val="single" w:color="auto" w:sz="4" w:space="0"/>
            </w:tcBorders>
            <w:vAlign w:val="bottom"/>
          </w:tcPr>
          <w:p w14:paraId="56E79FB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欧科路</w:t>
            </w:r>
          </w:p>
        </w:tc>
        <w:tc>
          <w:tcPr>
            <w:tcW w:w="1209" w:type="dxa"/>
            <w:tcBorders>
              <w:top w:val="nil"/>
              <w:left w:val="nil"/>
              <w:bottom w:val="single" w:color="auto" w:sz="4" w:space="0"/>
              <w:right w:val="single" w:color="auto" w:sz="4" w:space="0"/>
            </w:tcBorders>
            <w:vAlign w:val="bottom"/>
          </w:tcPr>
          <w:p w14:paraId="0EE642E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6AA53466">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00F319C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非接触式眼压计</w:t>
            </w:r>
          </w:p>
        </w:tc>
        <w:tc>
          <w:tcPr>
            <w:tcW w:w="2835" w:type="dxa"/>
            <w:tcBorders>
              <w:top w:val="nil"/>
              <w:left w:val="nil"/>
              <w:bottom w:val="single" w:color="auto" w:sz="4" w:space="0"/>
              <w:right w:val="single" w:color="auto" w:sz="4" w:space="0"/>
            </w:tcBorders>
            <w:vAlign w:val="bottom"/>
          </w:tcPr>
          <w:p w14:paraId="0930E14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TX-20</w:t>
            </w:r>
          </w:p>
        </w:tc>
        <w:tc>
          <w:tcPr>
            <w:tcW w:w="1688" w:type="dxa"/>
            <w:tcBorders>
              <w:top w:val="nil"/>
              <w:left w:val="nil"/>
              <w:bottom w:val="single" w:color="auto" w:sz="4" w:space="0"/>
              <w:right w:val="single" w:color="auto" w:sz="4" w:space="0"/>
            </w:tcBorders>
            <w:vAlign w:val="bottom"/>
          </w:tcPr>
          <w:p w14:paraId="333F2F8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CANON</w:t>
            </w:r>
          </w:p>
        </w:tc>
        <w:tc>
          <w:tcPr>
            <w:tcW w:w="1209" w:type="dxa"/>
            <w:tcBorders>
              <w:top w:val="nil"/>
              <w:left w:val="nil"/>
              <w:bottom w:val="single" w:color="auto" w:sz="4" w:space="0"/>
              <w:right w:val="single" w:color="auto" w:sz="4" w:space="0"/>
            </w:tcBorders>
            <w:vAlign w:val="bottom"/>
          </w:tcPr>
          <w:p w14:paraId="1A0FC92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w:t>
            </w:r>
          </w:p>
        </w:tc>
      </w:tr>
      <w:tr w14:paraId="7A7311AE">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5ED810F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全自动电脑验光仪</w:t>
            </w:r>
          </w:p>
        </w:tc>
        <w:tc>
          <w:tcPr>
            <w:tcW w:w="2835" w:type="dxa"/>
            <w:tcBorders>
              <w:top w:val="nil"/>
              <w:left w:val="nil"/>
              <w:bottom w:val="single" w:color="auto" w:sz="4" w:space="0"/>
              <w:right w:val="single" w:color="auto" w:sz="4" w:space="0"/>
            </w:tcBorders>
            <w:vAlign w:val="bottom"/>
          </w:tcPr>
          <w:p w14:paraId="220FEF6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RM-800</w:t>
            </w:r>
          </w:p>
        </w:tc>
        <w:tc>
          <w:tcPr>
            <w:tcW w:w="1688" w:type="dxa"/>
            <w:tcBorders>
              <w:top w:val="nil"/>
              <w:left w:val="nil"/>
              <w:bottom w:val="single" w:color="auto" w:sz="4" w:space="0"/>
              <w:right w:val="single" w:color="auto" w:sz="4" w:space="0"/>
            </w:tcBorders>
            <w:vAlign w:val="bottom"/>
          </w:tcPr>
          <w:p w14:paraId="58613A0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拓普康</w:t>
            </w:r>
          </w:p>
        </w:tc>
        <w:tc>
          <w:tcPr>
            <w:tcW w:w="1209" w:type="dxa"/>
            <w:tcBorders>
              <w:top w:val="nil"/>
              <w:left w:val="nil"/>
              <w:bottom w:val="single" w:color="auto" w:sz="4" w:space="0"/>
              <w:right w:val="single" w:color="auto" w:sz="4" w:space="0"/>
            </w:tcBorders>
            <w:vAlign w:val="bottom"/>
          </w:tcPr>
          <w:p w14:paraId="24FC346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47ADC5F1">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2B7A3E3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多功能弱视治疗系统</w:t>
            </w:r>
          </w:p>
        </w:tc>
        <w:tc>
          <w:tcPr>
            <w:tcW w:w="2835" w:type="dxa"/>
            <w:tcBorders>
              <w:top w:val="nil"/>
              <w:left w:val="nil"/>
              <w:bottom w:val="single" w:color="auto" w:sz="4" w:space="0"/>
              <w:right w:val="single" w:color="auto" w:sz="4" w:space="0"/>
            </w:tcBorders>
            <w:vAlign w:val="bottom"/>
          </w:tcPr>
          <w:p w14:paraId="0BB2981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V3.0</w:t>
            </w:r>
          </w:p>
        </w:tc>
        <w:tc>
          <w:tcPr>
            <w:tcW w:w="1688" w:type="dxa"/>
            <w:tcBorders>
              <w:top w:val="nil"/>
              <w:left w:val="nil"/>
              <w:bottom w:val="single" w:color="auto" w:sz="4" w:space="0"/>
              <w:right w:val="single" w:color="auto" w:sz="4" w:space="0"/>
            </w:tcBorders>
            <w:vAlign w:val="bottom"/>
          </w:tcPr>
          <w:p w14:paraId="5D81230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双琦医疗科技</w:t>
            </w:r>
          </w:p>
        </w:tc>
        <w:tc>
          <w:tcPr>
            <w:tcW w:w="1209" w:type="dxa"/>
            <w:tcBorders>
              <w:top w:val="nil"/>
              <w:left w:val="nil"/>
              <w:bottom w:val="single" w:color="auto" w:sz="4" w:space="0"/>
              <w:right w:val="single" w:color="auto" w:sz="4" w:space="0"/>
            </w:tcBorders>
            <w:vAlign w:val="bottom"/>
          </w:tcPr>
          <w:p w14:paraId="3E290B9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22F84654">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1F5B789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视觉质量分析系统</w:t>
            </w:r>
          </w:p>
        </w:tc>
        <w:tc>
          <w:tcPr>
            <w:tcW w:w="2835" w:type="dxa"/>
            <w:tcBorders>
              <w:top w:val="nil"/>
              <w:left w:val="nil"/>
              <w:bottom w:val="single" w:color="auto" w:sz="4" w:space="0"/>
              <w:right w:val="single" w:color="auto" w:sz="4" w:space="0"/>
            </w:tcBorders>
            <w:vAlign w:val="bottom"/>
          </w:tcPr>
          <w:p w14:paraId="132D2B1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itrace</w:t>
            </w:r>
          </w:p>
        </w:tc>
        <w:tc>
          <w:tcPr>
            <w:tcW w:w="1688" w:type="dxa"/>
            <w:tcBorders>
              <w:top w:val="nil"/>
              <w:left w:val="nil"/>
              <w:bottom w:val="single" w:color="auto" w:sz="4" w:space="0"/>
              <w:right w:val="single" w:color="auto" w:sz="4" w:space="0"/>
            </w:tcBorders>
            <w:vAlign w:val="bottom"/>
          </w:tcPr>
          <w:p w14:paraId="46DAF81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璀兮眼科技术</w:t>
            </w:r>
          </w:p>
        </w:tc>
        <w:tc>
          <w:tcPr>
            <w:tcW w:w="1209" w:type="dxa"/>
            <w:tcBorders>
              <w:top w:val="nil"/>
              <w:left w:val="nil"/>
              <w:bottom w:val="single" w:color="auto" w:sz="4" w:space="0"/>
              <w:right w:val="single" w:color="auto" w:sz="4" w:space="0"/>
            </w:tcBorders>
            <w:vAlign w:val="bottom"/>
          </w:tcPr>
          <w:p w14:paraId="596C189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4202155B">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29AEC67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激光扫描检眼镜</w:t>
            </w:r>
          </w:p>
        </w:tc>
        <w:tc>
          <w:tcPr>
            <w:tcW w:w="2835" w:type="dxa"/>
            <w:tcBorders>
              <w:top w:val="nil"/>
              <w:left w:val="nil"/>
              <w:bottom w:val="single" w:color="auto" w:sz="4" w:space="0"/>
              <w:right w:val="single" w:color="auto" w:sz="4" w:space="0"/>
            </w:tcBorders>
            <w:vAlign w:val="bottom"/>
          </w:tcPr>
          <w:p w14:paraId="310023F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Zeiss-500</w:t>
            </w:r>
          </w:p>
        </w:tc>
        <w:tc>
          <w:tcPr>
            <w:tcW w:w="1688" w:type="dxa"/>
            <w:tcBorders>
              <w:top w:val="nil"/>
              <w:left w:val="nil"/>
              <w:bottom w:val="single" w:color="auto" w:sz="4" w:space="0"/>
              <w:right w:val="single" w:color="auto" w:sz="4" w:space="0"/>
            </w:tcBorders>
            <w:vAlign w:val="bottom"/>
          </w:tcPr>
          <w:p w14:paraId="6D715E3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蔡司</w:t>
            </w:r>
          </w:p>
        </w:tc>
        <w:tc>
          <w:tcPr>
            <w:tcW w:w="1209" w:type="dxa"/>
            <w:tcBorders>
              <w:top w:val="nil"/>
              <w:left w:val="nil"/>
              <w:bottom w:val="single" w:color="auto" w:sz="4" w:space="0"/>
              <w:right w:val="single" w:color="auto" w:sz="4" w:space="0"/>
            </w:tcBorders>
            <w:vAlign w:val="bottom"/>
          </w:tcPr>
          <w:p w14:paraId="3137BAB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B38262E">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64FA23F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视网膜自适应光学成像仪</w:t>
            </w:r>
          </w:p>
        </w:tc>
        <w:tc>
          <w:tcPr>
            <w:tcW w:w="2835" w:type="dxa"/>
            <w:tcBorders>
              <w:top w:val="nil"/>
              <w:left w:val="nil"/>
              <w:bottom w:val="single" w:color="auto" w:sz="4" w:space="0"/>
              <w:right w:val="single" w:color="auto" w:sz="4" w:space="0"/>
            </w:tcBorders>
            <w:vAlign w:val="bottom"/>
          </w:tcPr>
          <w:p w14:paraId="6B42A7C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Rercam3</w:t>
            </w:r>
          </w:p>
        </w:tc>
        <w:tc>
          <w:tcPr>
            <w:tcW w:w="1688" w:type="dxa"/>
            <w:tcBorders>
              <w:top w:val="nil"/>
              <w:left w:val="nil"/>
              <w:bottom w:val="single" w:color="auto" w:sz="4" w:space="0"/>
              <w:right w:val="single" w:color="auto" w:sz="4" w:space="0"/>
            </w:tcBorders>
            <w:vAlign w:val="bottom"/>
          </w:tcPr>
          <w:p w14:paraId="772A559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美国Natus</w:t>
            </w:r>
          </w:p>
        </w:tc>
        <w:tc>
          <w:tcPr>
            <w:tcW w:w="1209" w:type="dxa"/>
            <w:tcBorders>
              <w:top w:val="nil"/>
              <w:left w:val="nil"/>
              <w:bottom w:val="single" w:color="auto" w:sz="4" w:space="0"/>
              <w:right w:val="single" w:color="auto" w:sz="4" w:space="0"/>
            </w:tcBorders>
            <w:vAlign w:val="bottom"/>
          </w:tcPr>
          <w:p w14:paraId="2E22E1A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07CF3C9">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041D6A0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共聚焦激光扫描仪</w:t>
            </w:r>
          </w:p>
        </w:tc>
        <w:tc>
          <w:tcPr>
            <w:tcW w:w="2835" w:type="dxa"/>
            <w:tcBorders>
              <w:top w:val="nil"/>
              <w:left w:val="nil"/>
              <w:bottom w:val="single" w:color="auto" w:sz="4" w:space="0"/>
              <w:right w:val="single" w:color="auto" w:sz="4" w:space="0"/>
            </w:tcBorders>
            <w:vAlign w:val="bottom"/>
          </w:tcPr>
          <w:p w14:paraId="7778AA8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HRT3CM</w:t>
            </w:r>
          </w:p>
        </w:tc>
        <w:tc>
          <w:tcPr>
            <w:tcW w:w="1688" w:type="dxa"/>
            <w:tcBorders>
              <w:top w:val="nil"/>
              <w:left w:val="nil"/>
              <w:bottom w:val="single" w:color="auto" w:sz="4" w:space="0"/>
              <w:right w:val="single" w:color="auto" w:sz="4" w:space="0"/>
            </w:tcBorders>
            <w:vAlign w:val="bottom"/>
          </w:tcPr>
          <w:p w14:paraId="6B3250F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德国海德堡</w:t>
            </w:r>
          </w:p>
        </w:tc>
        <w:tc>
          <w:tcPr>
            <w:tcW w:w="1209" w:type="dxa"/>
            <w:tcBorders>
              <w:top w:val="nil"/>
              <w:left w:val="nil"/>
              <w:bottom w:val="single" w:color="auto" w:sz="4" w:space="0"/>
              <w:right w:val="single" w:color="auto" w:sz="4" w:space="0"/>
            </w:tcBorders>
            <w:vAlign w:val="bottom"/>
          </w:tcPr>
          <w:p w14:paraId="0459B4E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327B028A">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54A1038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超声生物显微镜</w:t>
            </w:r>
          </w:p>
        </w:tc>
        <w:tc>
          <w:tcPr>
            <w:tcW w:w="2835" w:type="dxa"/>
            <w:tcBorders>
              <w:top w:val="nil"/>
              <w:left w:val="nil"/>
              <w:bottom w:val="single" w:color="auto" w:sz="4" w:space="0"/>
              <w:right w:val="single" w:color="auto" w:sz="4" w:space="0"/>
            </w:tcBorders>
            <w:vAlign w:val="bottom"/>
          </w:tcPr>
          <w:p w14:paraId="4011B4B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SW-3200L</w:t>
            </w:r>
          </w:p>
        </w:tc>
        <w:tc>
          <w:tcPr>
            <w:tcW w:w="1688" w:type="dxa"/>
            <w:tcBorders>
              <w:top w:val="nil"/>
              <w:left w:val="nil"/>
              <w:bottom w:val="single" w:color="auto" w:sz="4" w:space="0"/>
              <w:right w:val="single" w:color="auto" w:sz="4" w:space="0"/>
            </w:tcBorders>
            <w:vAlign w:val="bottom"/>
          </w:tcPr>
          <w:p w14:paraId="024E2E1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天津索维</w:t>
            </w:r>
          </w:p>
        </w:tc>
        <w:tc>
          <w:tcPr>
            <w:tcW w:w="1209" w:type="dxa"/>
            <w:tcBorders>
              <w:top w:val="nil"/>
              <w:left w:val="nil"/>
              <w:bottom w:val="single" w:color="auto" w:sz="4" w:space="0"/>
              <w:right w:val="single" w:color="auto" w:sz="4" w:space="0"/>
            </w:tcBorders>
            <w:vAlign w:val="bottom"/>
          </w:tcPr>
          <w:p w14:paraId="0C4AF3E3">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5AE3C714">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341D460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视觉电生理仪</w:t>
            </w:r>
          </w:p>
        </w:tc>
        <w:tc>
          <w:tcPr>
            <w:tcW w:w="2835" w:type="dxa"/>
            <w:tcBorders>
              <w:top w:val="nil"/>
              <w:left w:val="nil"/>
              <w:bottom w:val="single" w:color="auto" w:sz="4" w:space="0"/>
              <w:right w:val="single" w:color="auto" w:sz="4" w:space="0"/>
            </w:tcBorders>
            <w:vAlign w:val="bottom"/>
          </w:tcPr>
          <w:p w14:paraId="62139C2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GT-2008V-VI</w:t>
            </w:r>
          </w:p>
        </w:tc>
        <w:tc>
          <w:tcPr>
            <w:tcW w:w="1688" w:type="dxa"/>
            <w:tcBorders>
              <w:top w:val="nil"/>
              <w:left w:val="nil"/>
              <w:bottom w:val="single" w:color="auto" w:sz="4" w:space="0"/>
              <w:right w:val="single" w:color="auto" w:sz="4" w:space="0"/>
            </w:tcBorders>
            <w:vAlign w:val="bottom"/>
          </w:tcPr>
          <w:p w14:paraId="255B133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重庆国特医疗</w:t>
            </w:r>
          </w:p>
        </w:tc>
        <w:tc>
          <w:tcPr>
            <w:tcW w:w="1209" w:type="dxa"/>
            <w:tcBorders>
              <w:top w:val="nil"/>
              <w:left w:val="nil"/>
              <w:bottom w:val="single" w:color="auto" w:sz="4" w:space="0"/>
              <w:right w:val="single" w:color="auto" w:sz="4" w:space="0"/>
            </w:tcBorders>
            <w:vAlign w:val="bottom"/>
          </w:tcPr>
          <w:p w14:paraId="31FD3B9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30AFB1E9">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6F591F1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眼底荧光造影仪</w:t>
            </w:r>
          </w:p>
        </w:tc>
        <w:tc>
          <w:tcPr>
            <w:tcW w:w="2835" w:type="dxa"/>
            <w:tcBorders>
              <w:top w:val="nil"/>
              <w:left w:val="nil"/>
              <w:bottom w:val="single" w:color="auto" w:sz="4" w:space="0"/>
              <w:right w:val="single" w:color="auto" w:sz="4" w:space="0"/>
            </w:tcBorders>
            <w:vAlign w:val="bottom"/>
          </w:tcPr>
          <w:p w14:paraId="490A5A2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Spectralis HRA+OCT</w:t>
            </w:r>
          </w:p>
        </w:tc>
        <w:tc>
          <w:tcPr>
            <w:tcW w:w="1688" w:type="dxa"/>
            <w:tcBorders>
              <w:top w:val="nil"/>
              <w:left w:val="nil"/>
              <w:bottom w:val="single" w:color="auto" w:sz="4" w:space="0"/>
              <w:right w:val="single" w:color="auto" w:sz="4" w:space="0"/>
            </w:tcBorders>
            <w:vAlign w:val="bottom"/>
          </w:tcPr>
          <w:p w14:paraId="2D311E7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德国海德堡</w:t>
            </w:r>
          </w:p>
        </w:tc>
        <w:tc>
          <w:tcPr>
            <w:tcW w:w="1209" w:type="dxa"/>
            <w:tcBorders>
              <w:top w:val="nil"/>
              <w:left w:val="nil"/>
              <w:bottom w:val="single" w:color="auto" w:sz="4" w:space="0"/>
              <w:right w:val="single" w:color="auto" w:sz="4" w:space="0"/>
            </w:tcBorders>
            <w:vAlign w:val="bottom"/>
          </w:tcPr>
          <w:p w14:paraId="506AEA6A">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70726F0">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5F49037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视野机</w:t>
            </w:r>
          </w:p>
        </w:tc>
        <w:tc>
          <w:tcPr>
            <w:tcW w:w="2835" w:type="dxa"/>
            <w:tcBorders>
              <w:top w:val="nil"/>
              <w:left w:val="nil"/>
              <w:bottom w:val="single" w:color="auto" w:sz="4" w:space="0"/>
              <w:right w:val="single" w:color="auto" w:sz="4" w:space="0"/>
            </w:tcBorders>
            <w:vAlign w:val="bottom"/>
          </w:tcPr>
          <w:p w14:paraId="0F170BE8">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HFA7501</w:t>
            </w:r>
          </w:p>
        </w:tc>
        <w:tc>
          <w:tcPr>
            <w:tcW w:w="1688" w:type="dxa"/>
            <w:tcBorders>
              <w:top w:val="nil"/>
              <w:left w:val="nil"/>
              <w:bottom w:val="single" w:color="auto" w:sz="4" w:space="0"/>
              <w:right w:val="single" w:color="auto" w:sz="4" w:space="0"/>
            </w:tcBorders>
            <w:vAlign w:val="bottom"/>
          </w:tcPr>
          <w:p w14:paraId="023079AF">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蔡司</w:t>
            </w:r>
          </w:p>
        </w:tc>
        <w:tc>
          <w:tcPr>
            <w:tcW w:w="1209" w:type="dxa"/>
            <w:tcBorders>
              <w:top w:val="nil"/>
              <w:left w:val="nil"/>
              <w:bottom w:val="single" w:color="auto" w:sz="4" w:space="0"/>
              <w:right w:val="single" w:color="auto" w:sz="4" w:space="0"/>
            </w:tcBorders>
            <w:vAlign w:val="bottom"/>
          </w:tcPr>
          <w:p w14:paraId="18B8DD1B">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10838FB">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6382F8E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视野机</w:t>
            </w:r>
          </w:p>
        </w:tc>
        <w:tc>
          <w:tcPr>
            <w:tcW w:w="2835" w:type="dxa"/>
            <w:tcBorders>
              <w:top w:val="nil"/>
              <w:left w:val="nil"/>
              <w:bottom w:val="single" w:color="auto" w:sz="4" w:space="0"/>
              <w:right w:val="single" w:color="auto" w:sz="4" w:space="0"/>
            </w:tcBorders>
            <w:vAlign w:val="bottom"/>
          </w:tcPr>
          <w:p w14:paraId="329422F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860</w:t>
            </w:r>
          </w:p>
        </w:tc>
        <w:tc>
          <w:tcPr>
            <w:tcW w:w="1688" w:type="dxa"/>
            <w:tcBorders>
              <w:top w:val="nil"/>
              <w:left w:val="nil"/>
              <w:bottom w:val="single" w:color="auto" w:sz="4" w:space="0"/>
              <w:right w:val="single" w:color="auto" w:sz="4" w:space="0"/>
            </w:tcBorders>
            <w:vAlign w:val="bottom"/>
          </w:tcPr>
          <w:p w14:paraId="780F390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蔡司</w:t>
            </w:r>
          </w:p>
        </w:tc>
        <w:tc>
          <w:tcPr>
            <w:tcW w:w="1209" w:type="dxa"/>
            <w:tcBorders>
              <w:top w:val="nil"/>
              <w:left w:val="nil"/>
              <w:bottom w:val="single" w:color="auto" w:sz="4" w:space="0"/>
              <w:right w:val="single" w:color="auto" w:sz="4" w:space="0"/>
            </w:tcBorders>
            <w:vAlign w:val="bottom"/>
          </w:tcPr>
          <w:p w14:paraId="7B0B7158">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51D5679A">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386D6C4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光学相干断层成像仪</w:t>
            </w:r>
          </w:p>
        </w:tc>
        <w:tc>
          <w:tcPr>
            <w:tcW w:w="2835" w:type="dxa"/>
            <w:tcBorders>
              <w:top w:val="nil"/>
              <w:left w:val="nil"/>
              <w:bottom w:val="single" w:color="auto" w:sz="4" w:space="0"/>
              <w:right w:val="single" w:color="auto" w:sz="4" w:space="0"/>
            </w:tcBorders>
            <w:vAlign w:val="bottom"/>
          </w:tcPr>
          <w:p w14:paraId="58E098C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DRI-OCT-Triton</w:t>
            </w:r>
          </w:p>
        </w:tc>
        <w:tc>
          <w:tcPr>
            <w:tcW w:w="1688" w:type="dxa"/>
            <w:tcBorders>
              <w:top w:val="nil"/>
              <w:left w:val="nil"/>
              <w:bottom w:val="single" w:color="auto" w:sz="4" w:space="0"/>
              <w:right w:val="single" w:color="auto" w:sz="4" w:space="0"/>
            </w:tcBorders>
            <w:vAlign w:val="bottom"/>
          </w:tcPr>
          <w:p w14:paraId="3B518C6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拓普康</w:t>
            </w:r>
          </w:p>
        </w:tc>
        <w:tc>
          <w:tcPr>
            <w:tcW w:w="1209" w:type="dxa"/>
            <w:tcBorders>
              <w:top w:val="nil"/>
              <w:left w:val="nil"/>
              <w:bottom w:val="single" w:color="auto" w:sz="4" w:space="0"/>
              <w:right w:val="single" w:color="auto" w:sz="4" w:space="0"/>
            </w:tcBorders>
            <w:vAlign w:val="bottom"/>
          </w:tcPr>
          <w:p w14:paraId="4283B577">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2ACCDD9D">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02F462D4">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眼光学生物测量仪</w:t>
            </w:r>
          </w:p>
        </w:tc>
        <w:tc>
          <w:tcPr>
            <w:tcW w:w="2835" w:type="dxa"/>
            <w:tcBorders>
              <w:top w:val="nil"/>
              <w:left w:val="nil"/>
              <w:bottom w:val="single" w:color="auto" w:sz="4" w:space="0"/>
              <w:right w:val="single" w:color="auto" w:sz="4" w:space="0"/>
            </w:tcBorders>
            <w:vAlign w:val="bottom"/>
          </w:tcPr>
          <w:p w14:paraId="7480175C">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IOL-MASTER-500</w:t>
            </w:r>
          </w:p>
        </w:tc>
        <w:tc>
          <w:tcPr>
            <w:tcW w:w="1688" w:type="dxa"/>
            <w:tcBorders>
              <w:top w:val="nil"/>
              <w:left w:val="nil"/>
              <w:bottom w:val="single" w:color="auto" w:sz="4" w:space="0"/>
              <w:right w:val="single" w:color="auto" w:sz="4" w:space="0"/>
            </w:tcBorders>
            <w:vAlign w:val="bottom"/>
          </w:tcPr>
          <w:p w14:paraId="710D150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蔡司</w:t>
            </w:r>
          </w:p>
        </w:tc>
        <w:tc>
          <w:tcPr>
            <w:tcW w:w="1209" w:type="dxa"/>
            <w:tcBorders>
              <w:top w:val="nil"/>
              <w:left w:val="nil"/>
              <w:bottom w:val="single" w:color="auto" w:sz="4" w:space="0"/>
              <w:right w:val="single" w:color="auto" w:sz="4" w:space="0"/>
            </w:tcBorders>
            <w:vAlign w:val="bottom"/>
          </w:tcPr>
          <w:p w14:paraId="1DED11B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1A8EA869">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742966FE">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眼光学生物测量仪</w:t>
            </w:r>
          </w:p>
        </w:tc>
        <w:tc>
          <w:tcPr>
            <w:tcW w:w="2835" w:type="dxa"/>
            <w:tcBorders>
              <w:top w:val="nil"/>
              <w:left w:val="nil"/>
              <w:bottom w:val="single" w:color="auto" w:sz="4" w:space="0"/>
              <w:right w:val="single" w:color="auto" w:sz="4" w:space="0"/>
            </w:tcBorders>
            <w:vAlign w:val="bottom"/>
          </w:tcPr>
          <w:p w14:paraId="7361260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IOL-MASTER-700</w:t>
            </w:r>
          </w:p>
        </w:tc>
        <w:tc>
          <w:tcPr>
            <w:tcW w:w="1688" w:type="dxa"/>
            <w:tcBorders>
              <w:top w:val="nil"/>
              <w:left w:val="nil"/>
              <w:bottom w:val="single" w:color="auto" w:sz="4" w:space="0"/>
              <w:right w:val="single" w:color="auto" w:sz="4" w:space="0"/>
            </w:tcBorders>
            <w:vAlign w:val="bottom"/>
          </w:tcPr>
          <w:p w14:paraId="70FD52ED">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蔡司</w:t>
            </w:r>
          </w:p>
        </w:tc>
        <w:tc>
          <w:tcPr>
            <w:tcW w:w="1209" w:type="dxa"/>
            <w:tcBorders>
              <w:top w:val="nil"/>
              <w:left w:val="nil"/>
              <w:bottom w:val="single" w:color="auto" w:sz="4" w:space="0"/>
              <w:right w:val="single" w:color="auto" w:sz="4" w:space="0"/>
            </w:tcBorders>
            <w:vAlign w:val="bottom"/>
          </w:tcPr>
          <w:p w14:paraId="416353B2">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3DDC0DB">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105EA4DB">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角膜内皮显微镜</w:t>
            </w:r>
          </w:p>
        </w:tc>
        <w:tc>
          <w:tcPr>
            <w:tcW w:w="2835" w:type="dxa"/>
            <w:tcBorders>
              <w:top w:val="nil"/>
              <w:left w:val="nil"/>
              <w:bottom w:val="single" w:color="auto" w:sz="4" w:space="0"/>
              <w:right w:val="single" w:color="auto" w:sz="4" w:space="0"/>
            </w:tcBorders>
            <w:vAlign w:val="bottom"/>
          </w:tcPr>
          <w:p w14:paraId="19E730B7">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EM-3000</w:t>
            </w:r>
          </w:p>
        </w:tc>
        <w:tc>
          <w:tcPr>
            <w:tcW w:w="1688" w:type="dxa"/>
            <w:tcBorders>
              <w:top w:val="nil"/>
              <w:left w:val="nil"/>
              <w:bottom w:val="single" w:color="auto" w:sz="4" w:space="0"/>
              <w:right w:val="single" w:color="auto" w:sz="4" w:space="0"/>
            </w:tcBorders>
            <w:vAlign w:val="bottom"/>
          </w:tcPr>
          <w:p w14:paraId="55449713">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日本TOMEY</w:t>
            </w:r>
          </w:p>
        </w:tc>
        <w:tc>
          <w:tcPr>
            <w:tcW w:w="1209" w:type="dxa"/>
            <w:tcBorders>
              <w:top w:val="nil"/>
              <w:left w:val="nil"/>
              <w:bottom w:val="single" w:color="auto" w:sz="4" w:space="0"/>
              <w:right w:val="single" w:color="auto" w:sz="4" w:space="0"/>
            </w:tcBorders>
            <w:vAlign w:val="bottom"/>
          </w:tcPr>
          <w:p w14:paraId="43648F64">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2FD1EE1F">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62BFCFF9">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角膜内皮显微镜</w:t>
            </w:r>
          </w:p>
        </w:tc>
        <w:tc>
          <w:tcPr>
            <w:tcW w:w="2835" w:type="dxa"/>
            <w:tcBorders>
              <w:top w:val="nil"/>
              <w:left w:val="nil"/>
              <w:bottom w:val="single" w:color="auto" w:sz="4" w:space="0"/>
              <w:right w:val="single" w:color="auto" w:sz="4" w:space="0"/>
            </w:tcBorders>
            <w:vAlign w:val="bottom"/>
          </w:tcPr>
          <w:p w14:paraId="739A692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SP-1P</w:t>
            </w:r>
          </w:p>
        </w:tc>
        <w:tc>
          <w:tcPr>
            <w:tcW w:w="1688" w:type="dxa"/>
            <w:tcBorders>
              <w:top w:val="nil"/>
              <w:left w:val="nil"/>
              <w:bottom w:val="single" w:color="auto" w:sz="4" w:space="0"/>
              <w:right w:val="single" w:color="auto" w:sz="4" w:space="0"/>
            </w:tcBorders>
            <w:vAlign w:val="bottom"/>
          </w:tcPr>
          <w:p w14:paraId="05C029DA">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TOPCON</w:t>
            </w:r>
          </w:p>
        </w:tc>
        <w:tc>
          <w:tcPr>
            <w:tcW w:w="1209" w:type="dxa"/>
            <w:tcBorders>
              <w:top w:val="nil"/>
              <w:left w:val="nil"/>
              <w:bottom w:val="single" w:color="auto" w:sz="4" w:space="0"/>
              <w:right w:val="single" w:color="auto" w:sz="4" w:space="0"/>
            </w:tcBorders>
            <w:vAlign w:val="bottom"/>
          </w:tcPr>
          <w:p w14:paraId="3812444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6FDA96FA">
        <w:tblPrEx>
          <w:tblCellMar>
            <w:top w:w="0" w:type="dxa"/>
            <w:left w:w="108" w:type="dxa"/>
            <w:bottom w:w="0" w:type="dxa"/>
            <w:right w:w="108" w:type="dxa"/>
          </w:tblCellMar>
        </w:tblPrEx>
        <w:trPr>
          <w:trHeight w:val="286" w:hRule="atLeast"/>
        </w:trPr>
        <w:tc>
          <w:tcPr>
            <w:tcW w:w="3052" w:type="dxa"/>
            <w:tcBorders>
              <w:top w:val="nil"/>
              <w:left w:val="single" w:color="auto" w:sz="4" w:space="0"/>
              <w:bottom w:val="single" w:color="auto" w:sz="4" w:space="0"/>
              <w:right w:val="single" w:color="auto" w:sz="4" w:space="0"/>
            </w:tcBorders>
            <w:vAlign w:val="bottom"/>
          </w:tcPr>
          <w:p w14:paraId="6D3C36A5">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眼表综合分析仪</w:t>
            </w:r>
          </w:p>
        </w:tc>
        <w:tc>
          <w:tcPr>
            <w:tcW w:w="2835" w:type="dxa"/>
            <w:tcBorders>
              <w:top w:val="nil"/>
              <w:left w:val="nil"/>
              <w:bottom w:val="single" w:color="auto" w:sz="4" w:space="0"/>
              <w:right w:val="single" w:color="auto" w:sz="4" w:space="0"/>
            </w:tcBorders>
            <w:vAlign w:val="bottom"/>
          </w:tcPr>
          <w:p w14:paraId="3A0954C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Keratograph-5M-7700</w:t>
            </w:r>
          </w:p>
        </w:tc>
        <w:tc>
          <w:tcPr>
            <w:tcW w:w="1688" w:type="dxa"/>
            <w:tcBorders>
              <w:top w:val="nil"/>
              <w:left w:val="nil"/>
              <w:bottom w:val="single" w:color="auto" w:sz="4" w:space="0"/>
              <w:right w:val="single" w:color="auto" w:sz="4" w:space="0"/>
            </w:tcBorders>
            <w:vAlign w:val="bottom"/>
          </w:tcPr>
          <w:p w14:paraId="1305FB16">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欧科路</w:t>
            </w:r>
          </w:p>
        </w:tc>
        <w:tc>
          <w:tcPr>
            <w:tcW w:w="1209" w:type="dxa"/>
            <w:tcBorders>
              <w:top w:val="nil"/>
              <w:left w:val="nil"/>
              <w:bottom w:val="single" w:color="auto" w:sz="4" w:space="0"/>
              <w:right w:val="single" w:color="auto" w:sz="4" w:space="0"/>
            </w:tcBorders>
            <w:vAlign w:val="bottom"/>
          </w:tcPr>
          <w:p w14:paraId="677E3596">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r w14:paraId="04EBDFD7">
        <w:tblPrEx>
          <w:tblCellMar>
            <w:top w:w="0" w:type="dxa"/>
            <w:left w:w="108" w:type="dxa"/>
            <w:bottom w:w="0" w:type="dxa"/>
            <w:right w:w="108" w:type="dxa"/>
          </w:tblCellMar>
        </w:tblPrEx>
        <w:trPr>
          <w:trHeight w:val="248" w:hRule="atLeast"/>
        </w:trPr>
        <w:tc>
          <w:tcPr>
            <w:tcW w:w="3052" w:type="dxa"/>
            <w:tcBorders>
              <w:top w:val="nil"/>
              <w:left w:val="single" w:color="auto" w:sz="4" w:space="0"/>
              <w:bottom w:val="single" w:color="auto" w:sz="4" w:space="0"/>
              <w:right w:val="single" w:color="auto" w:sz="4" w:space="0"/>
            </w:tcBorders>
            <w:vAlign w:val="bottom"/>
          </w:tcPr>
          <w:p w14:paraId="167230F2">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眼部A/B超超声诊断仪</w:t>
            </w:r>
          </w:p>
        </w:tc>
        <w:tc>
          <w:tcPr>
            <w:tcW w:w="2835" w:type="dxa"/>
            <w:tcBorders>
              <w:top w:val="nil"/>
              <w:left w:val="nil"/>
              <w:bottom w:val="single" w:color="auto" w:sz="4" w:space="0"/>
              <w:right w:val="single" w:color="auto" w:sz="4" w:space="0"/>
            </w:tcBorders>
            <w:vAlign w:val="bottom"/>
          </w:tcPr>
          <w:p w14:paraId="35CC84B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MD-2300S</w:t>
            </w:r>
          </w:p>
        </w:tc>
        <w:tc>
          <w:tcPr>
            <w:tcW w:w="1688" w:type="dxa"/>
            <w:tcBorders>
              <w:top w:val="nil"/>
              <w:left w:val="nil"/>
              <w:bottom w:val="single" w:color="auto" w:sz="4" w:space="0"/>
              <w:right w:val="single" w:color="auto" w:sz="4" w:space="0"/>
            </w:tcBorders>
            <w:vAlign w:val="bottom"/>
          </w:tcPr>
          <w:p w14:paraId="020B2670">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天津迈达</w:t>
            </w:r>
          </w:p>
        </w:tc>
        <w:tc>
          <w:tcPr>
            <w:tcW w:w="1209" w:type="dxa"/>
            <w:tcBorders>
              <w:top w:val="nil"/>
              <w:left w:val="nil"/>
              <w:bottom w:val="single" w:color="auto" w:sz="4" w:space="0"/>
              <w:right w:val="single" w:color="auto" w:sz="4" w:space="0"/>
            </w:tcBorders>
            <w:vAlign w:val="bottom"/>
          </w:tcPr>
          <w:p w14:paraId="00CE49A5">
            <w:pPr>
              <w:widowControl/>
              <w:jc w:val="cente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w:t>
            </w:r>
          </w:p>
        </w:tc>
      </w:tr>
    </w:tbl>
    <w:p w14:paraId="52FE47BF">
      <w:pPr>
        <w:rPr>
          <w:rFonts w:hint="eastAsia" w:eastAsia="宋体"/>
          <w:lang w:val="en-US" w:eastAsia="zh-CN"/>
        </w:rPr>
      </w:pPr>
      <w:r>
        <w:rPr>
          <w:rFonts w:hint="eastAsia" w:eastAsia="宋体"/>
          <w:lang w:val="en-US" w:eastAsia="zh-CN"/>
        </w:rPr>
        <w:br w:type="page"/>
      </w:r>
      <w:bookmarkStart w:id="4" w:name="_GoBack"/>
      <w:bookmarkEnd w:id="4"/>
    </w:p>
    <w:p w14:paraId="62DC782E">
      <w:pPr>
        <w:numPr>
          <w:ilvl w:val="0"/>
          <w:numId w:val="0"/>
        </w:numPr>
        <w:ind w:firstLine="570" w:firstLineChars="0"/>
        <w:rPr>
          <w:rFonts w:hint="eastAsia" w:ascii="仿宋_GB2312" w:hAnsi="仿宋_GB2312" w:eastAsia="宋体" w:cs="仿宋_GB2312"/>
          <w:b/>
          <w:bCs/>
          <w:sz w:val="28"/>
          <w:szCs w:val="28"/>
          <w:lang w:val="en-US" w:eastAsia="zh-CN"/>
        </w:rPr>
      </w:pPr>
      <w:r>
        <w:rPr>
          <w:rFonts w:hint="eastAsia" w:ascii="仿宋_GB2312" w:hAnsi="仿宋_GB2312" w:eastAsia="宋体" w:cs="仿宋_GB2312"/>
          <w:b/>
          <w:bCs/>
          <w:kern w:val="2"/>
          <w:sz w:val="28"/>
          <w:szCs w:val="28"/>
          <w:lang w:val="en-US" w:eastAsia="zh-CN" w:bidi="ar-SA"/>
          <w14:ligatures w14:val="none"/>
        </w:rPr>
        <w:t>二、</w:t>
      </w:r>
      <w:r>
        <w:rPr>
          <w:rFonts w:hint="eastAsia" w:ascii="仿宋_GB2312" w:hAnsi="仿宋_GB2312" w:eastAsia="宋体" w:cs="仿宋_GB2312"/>
          <w:b/>
          <w:bCs/>
          <w:sz w:val="28"/>
          <w:szCs w:val="28"/>
          <w:lang w:val="en-US" w:eastAsia="zh-CN"/>
        </w:rPr>
        <w:t>服务要求</w:t>
      </w:r>
    </w:p>
    <w:p w14:paraId="18C7DBBC">
      <w:pPr>
        <w:numPr>
          <w:ilvl w:val="0"/>
          <w:numId w:val="0"/>
        </w:numPr>
        <w:rPr>
          <w:rFonts w:hint="eastAsia"/>
        </w:rPr>
      </w:pPr>
      <w:r>
        <w:rPr>
          <w:rFonts w:hint="eastAsia"/>
        </w:rPr>
        <w:t>1.运行维护服务周期:自项目终验合格之日起3年。</w:t>
      </w:r>
    </w:p>
    <w:p w14:paraId="0617B7C3">
      <w:pPr>
        <w:numPr>
          <w:ilvl w:val="0"/>
          <w:numId w:val="0"/>
        </w:numPr>
        <w:rPr>
          <w:rFonts w:hint="eastAsia"/>
        </w:rPr>
      </w:pPr>
      <w:r>
        <w:rPr>
          <w:rFonts w:hint="eastAsia"/>
        </w:rPr>
        <w:t>2.分级故障处置标准。</w:t>
      </w:r>
    </w:p>
    <w:p w14:paraId="345EB081">
      <w:pPr>
        <w:numPr>
          <w:ilvl w:val="0"/>
          <w:numId w:val="0"/>
        </w:numPr>
        <w:rPr>
          <w:rFonts w:hint="eastAsia"/>
          <w:lang w:val="en-US" w:eastAsia="zh-CN"/>
        </w:rPr>
      </w:pPr>
      <w:r>
        <w:rPr>
          <w:rFonts w:hint="eastAsia"/>
        </w:rPr>
        <w:t>紧急故障 (系统宕机、数据库崩溃、驾驶舱无法访问)：接到故障报修30分钟内技术人员响应并启动故障处置，如需现场支持立即启动赴现场安排；2小时内给出解决方案，优先远程完成业务修复。</w:t>
      </w:r>
    </w:p>
    <w:p w14:paraId="5015B1C8">
      <w:pPr>
        <w:pStyle w:val="16"/>
        <w:spacing w:after="0" w:line="240" w:lineRule="auto"/>
        <w:rPr>
          <w:rFonts w:hint="eastAsia"/>
          <w:lang w:val="en-US" w:eastAsia="zh-CN"/>
        </w:rPr>
      </w:pPr>
      <w:r>
        <w:rPr>
          <w:rFonts w:hint="eastAsia"/>
          <w:lang w:val="en-US" w:eastAsia="zh-CN"/>
        </w:rPr>
        <w:t>一般非紧急故障：24 小时内完成修复，远程无法解决须上门处理。</w:t>
      </w:r>
    </w:p>
    <w:p w14:paraId="56ED90D6">
      <w:pPr>
        <w:pStyle w:val="16"/>
        <w:spacing w:after="0" w:line="240" w:lineRule="auto"/>
        <w:rPr>
          <w:rFonts w:hint="eastAsia"/>
          <w:lang w:val="en-US" w:eastAsia="zh-CN"/>
        </w:rPr>
      </w:pPr>
      <w:r>
        <w:rPr>
          <w:rFonts w:hint="eastAsia"/>
          <w:lang w:val="en-US" w:eastAsia="zh-CN"/>
        </w:rPr>
        <w:t xml:space="preserve">3.常态化运维工作内容 </w:t>
      </w:r>
    </w:p>
    <w:p w14:paraId="0CD18E8C">
      <w:pPr>
        <w:pStyle w:val="16"/>
        <w:spacing w:after="0" w:line="240" w:lineRule="auto"/>
        <w:rPr>
          <w:rFonts w:hint="eastAsia"/>
          <w:lang w:val="en-US" w:eastAsia="zh-CN"/>
        </w:rPr>
      </w:pPr>
      <w:r>
        <w:rPr>
          <w:rFonts w:hint="eastAsia"/>
          <w:lang w:val="en-US" w:eastAsia="zh-CN"/>
        </w:rPr>
        <w:t>系统实时监控：7×24 小时监测数据库、应用、接口运行状态，异常自动告警。</w:t>
      </w:r>
    </w:p>
    <w:p w14:paraId="2C3E7E53">
      <w:pPr>
        <w:pStyle w:val="16"/>
        <w:spacing w:after="0" w:line="240" w:lineRule="auto"/>
        <w:rPr>
          <w:rFonts w:hint="eastAsia"/>
          <w:lang w:val="en-US" w:eastAsia="zh-CN"/>
        </w:rPr>
      </w:pPr>
      <w:r>
        <w:rPr>
          <w:rFonts w:hint="eastAsia"/>
          <w:lang w:val="en-US" w:eastAsia="zh-CN"/>
        </w:rPr>
        <w:t>安全运维：每两周开展一次数据库安全巡检，输出安全检查报告，及时处置漏洞；</w:t>
      </w:r>
    </w:p>
    <w:p w14:paraId="03315D75">
      <w:pPr>
        <w:pStyle w:val="16"/>
        <w:spacing w:after="0" w:line="240" w:lineRule="auto"/>
        <w:rPr>
          <w:rFonts w:hint="eastAsia"/>
          <w:lang w:val="en-US" w:eastAsia="zh-CN"/>
        </w:rPr>
      </w:pPr>
      <w:r>
        <w:rPr>
          <w:rFonts w:hint="eastAsia"/>
          <w:lang w:val="en-US" w:eastAsia="zh-CN"/>
        </w:rPr>
        <w:t>数据备份：每天固定时间进行一次增量备份，每半年完整全量备份数据库与核心指标、报表模板，提供完整数据恢复演练支持。</w:t>
      </w:r>
    </w:p>
    <w:p w14:paraId="4B4307B8">
      <w:pPr>
        <w:pStyle w:val="16"/>
        <w:spacing w:after="0" w:line="240" w:lineRule="auto"/>
        <w:rPr>
          <w:rFonts w:hint="eastAsia"/>
          <w:lang w:val="en-US" w:eastAsia="zh-CN"/>
        </w:rPr>
      </w:pPr>
      <w:r>
        <w:rPr>
          <w:rFonts w:hint="eastAsia"/>
          <w:lang w:val="en-US" w:eastAsia="zh-CN"/>
        </w:rPr>
        <w:t>技术咨询：随时提供数据提取、指标口径、功能操作技术支撑。</w:t>
      </w:r>
    </w:p>
    <w:p w14:paraId="0FCDD212">
      <w:pPr>
        <w:pStyle w:val="16"/>
        <w:spacing w:after="0" w:line="240" w:lineRule="auto"/>
        <w:rPr>
          <w:rFonts w:hint="eastAsia"/>
          <w:lang w:val="en-US" w:eastAsia="zh-CN"/>
        </w:rPr>
      </w:pPr>
      <w:r>
        <w:rPr>
          <w:rFonts w:hint="eastAsia"/>
          <w:lang w:val="en-US" w:eastAsia="zh-CN"/>
        </w:rPr>
        <w:t>运维文档交付：按季提供全套运维资料，包含故障复盘、巡检记录、需求变更、系统升级、数据库优化、培训记录、月度运维总结报告。</w:t>
      </w:r>
    </w:p>
    <w:p w14:paraId="3D305A75">
      <w:pPr>
        <w:pStyle w:val="16"/>
        <w:spacing w:after="0" w:line="240" w:lineRule="auto"/>
        <w:rPr>
          <w:rFonts w:hint="eastAsia"/>
          <w:lang w:val="en-US" w:eastAsia="zh-CN"/>
        </w:rPr>
      </w:pPr>
      <w:r>
        <w:rPr>
          <w:rFonts w:hint="eastAsia"/>
          <w:lang w:val="en-US" w:eastAsia="zh-CN"/>
        </w:rPr>
        <w:t>培训服务：供应商应提供不少于3场现场集中培训，覆盖系统使用所有角色，并确保受训人员能独立操作。同时需提供完整的培训或操作手册。</w:t>
      </w:r>
    </w:p>
    <w:p w14:paraId="6E6D2151">
      <w:pPr>
        <w:pStyle w:val="16"/>
        <w:spacing w:after="0" w:line="240" w:lineRule="auto"/>
        <w:rPr>
          <w:rFonts w:hint="eastAsia"/>
          <w:lang w:val="en-US" w:eastAsia="zh-CN"/>
        </w:rPr>
      </w:pPr>
    </w:p>
    <w:p w14:paraId="61750990">
      <w:pPr>
        <w:ind w:firstLine="570"/>
        <w:rPr>
          <w:rFonts w:hint="eastAsia" w:ascii="仿宋_GB2312" w:hAnsi="仿宋_GB2312" w:eastAsia="宋体" w:cs="仿宋_GB2312"/>
          <w:b/>
          <w:bCs/>
          <w:sz w:val="28"/>
          <w:szCs w:val="28"/>
          <w:lang w:val="en-US" w:eastAsia="zh-CN"/>
        </w:rPr>
      </w:pPr>
      <w:r>
        <w:rPr>
          <w:rFonts w:hint="eastAsia" w:ascii="仿宋_GB2312" w:hAnsi="仿宋_GB2312" w:eastAsia="宋体" w:cs="仿宋_GB2312"/>
          <w:b/>
          <w:bCs/>
          <w:sz w:val="28"/>
          <w:szCs w:val="28"/>
          <w:lang w:val="en-US" w:eastAsia="zh-CN"/>
        </w:rPr>
        <w:t>三、信息安全</w:t>
      </w:r>
    </w:p>
    <w:p w14:paraId="3ED01397">
      <w:pPr>
        <w:pStyle w:val="16"/>
        <w:spacing w:after="0" w:line="240" w:lineRule="auto"/>
        <w:rPr>
          <w:rFonts w:hint="eastAsia" w:eastAsia="宋体"/>
          <w:lang w:val="en-US" w:eastAsia="zh-CN"/>
        </w:rPr>
      </w:pPr>
      <w:r>
        <w:rPr>
          <w:rFonts w:hint="eastAsia" w:eastAsia="宋体"/>
          <w:lang w:val="en-US" w:eastAsia="zh-CN"/>
        </w:rPr>
        <w:t>（1）数据库、操作系统等漏洞补丁修复（现有版本如有漏洞，及时更新）；</w:t>
      </w:r>
    </w:p>
    <w:p w14:paraId="4F8C6B0F">
      <w:pPr>
        <w:pStyle w:val="16"/>
        <w:spacing w:after="0" w:line="240" w:lineRule="auto"/>
        <w:rPr>
          <w:rFonts w:hint="eastAsia" w:eastAsia="宋体"/>
          <w:lang w:val="en-US" w:eastAsia="zh-CN"/>
        </w:rPr>
      </w:pPr>
      <w:r>
        <w:rPr>
          <w:rFonts w:hint="eastAsia" w:eastAsia="宋体"/>
          <w:lang w:val="en-US" w:eastAsia="zh-CN"/>
        </w:rPr>
        <w:t>（2）系统漏洞扫描，渗透测试问题修复（2小时内响应，48小时内修复完成）；收到安全隐患通知后，24小时内处置安全隐患。</w:t>
      </w:r>
    </w:p>
    <w:p w14:paraId="58F40B2B">
      <w:pPr>
        <w:pStyle w:val="16"/>
        <w:spacing w:after="0" w:line="240" w:lineRule="auto"/>
        <w:rPr>
          <w:rFonts w:hint="eastAsia" w:eastAsia="宋体"/>
          <w:lang w:val="en-US" w:eastAsia="zh-CN"/>
        </w:rPr>
      </w:pPr>
      <w:r>
        <w:rPr>
          <w:rFonts w:hint="eastAsia" w:eastAsia="宋体"/>
          <w:lang w:val="en-US" w:eastAsia="zh-CN"/>
        </w:rPr>
        <w:t>（3）成立安全管理团队：建立7×24小时安全值班组（含开发/运维/安全三方联动），漏洞确认后立即启动跨部门会议；</w:t>
      </w:r>
    </w:p>
    <w:p w14:paraId="255D5FF7">
      <w:pPr>
        <w:pStyle w:val="16"/>
        <w:spacing w:after="0" w:line="240" w:lineRule="auto"/>
        <w:rPr>
          <w:rFonts w:hint="eastAsia" w:eastAsia="宋体"/>
          <w:lang w:val="en-US" w:eastAsia="zh-CN"/>
        </w:rPr>
      </w:pPr>
      <w:r>
        <w:rPr>
          <w:rFonts w:hint="eastAsia" w:eastAsia="宋体"/>
          <w:lang w:val="en-US" w:eastAsia="zh-CN"/>
        </w:rPr>
        <w:t>（4）为保证系统数据稳定性及安全性，在系统上线前需通过采购人组织的安全评估，合格后方可正式上线运行。</w:t>
      </w:r>
    </w:p>
    <w:p w14:paraId="0A375D6D">
      <w:pPr>
        <w:pStyle w:val="16"/>
        <w:spacing w:after="0" w:line="240" w:lineRule="auto"/>
        <w:rPr>
          <w:rFonts w:hint="eastAsia" w:eastAsia="宋体"/>
          <w:lang w:val="en-US" w:eastAsia="zh-CN"/>
        </w:rPr>
      </w:pPr>
      <w:r>
        <w:rPr>
          <w:rFonts w:hint="eastAsia" w:eastAsia="宋体"/>
          <w:lang w:val="en-US" w:eastAsia="zh-CN"/>
        </w:rPr>
        <w:t>（5）服务期内，按照《中华人民共和国网络安全法》、《中华人民共和国保守国家秘密法》、《信息安全等级保护管理办法》的要求采取相应措施，接受采购人信息安全管理，协助采购人做好信息安全工作，及时处置安全风险。投标人须与采购人签订数据保密协议，须对其服务人员加强信息系统安全管理教育和培训，增强系统安全防意识。</w:t>
      </w:r>
    </w:p>
    <w:p w14:paraId="2A1E8FAC">
      <w:pPr>
        <w:pStyle w:val="16"/>
        <w:spacing w:after="0" w:line="240" w:lineRule="auto"/>
        <w:rPr>
          <w:rFonts w:hint="eastAsia" w:eastAsia="宋体"/>
          <w:lang w:val="en-US" w:eastAsia="zh-CN"/>
        </w:rPr>
      </w:pPr>
    </w:p>
    <w:p w14:paraId="273A4438">
      <w:pPr>
        <w:ind w:firstLine="570"/>
        <w:rPr>
          <w:rFonts w:hint="eastAsia" w:ascii="仿宋_GB2312" w:hAnsi="仿宋_GB2312" w:eastAsia="宋体" w:cs="仿宋_GB2312"/>
          <w:b/>
          <w:bCs/>
          <w:sz w:val="28"/>
          <w:szCs w:val="28"/>
          <w:lang w:val="en-US" w:eastAsia="zh-CN"/>
        </w:rPr>
      </w:pPr>
      <w:r>
        <w:rPr>
          <w:rFonts w:hint="eastAsia" w:ascii="仿宋_GB2312" w:hAnsi="仿宋_GB2312" w:eastAsia="宋体" w:cs="仿宋_GB2312"/>
          <w:b/>
          <w:bCs/>
          <w:sz w:val="28"/>
          <w:szCs w:val="28"/>
          <w:lang w:val="en-US" w:eastAsia="zh-CN"/>
        </w:rPr>
        <w:t>四、系统接口与数据交互要求</w:t>
      </w:r>
    </w:p>
    <w:p w14:paraId="6B06CDC0">
      <w:pPr>
        <w:pStyle w:val="16"/>
        <w:spacing w:after="0" w:line="240" w:lineRule="auto"/>
        <w:rPr>
          <w:rFonts w:hint="eastAsia" w:eastAsia="宋体"/>
          <w:lang w:val="en-US" w:eastAsia="zh-CN"/>
        </w:rPr>
      </w:pPr>
      <w:r>
        <w:rPr>
          <w:rFonts w:hint="eastAsia" w:eastAsia="宋体"/>
          <w:lang w:val="en-US" w:eastAsia="zh-CN"/>
        </w:rPr>
        <w:t>1. 接口费用要求</w:t>
      </w:r>
    </w:p>
    <w:p w14:paraId="47C92317">
      <w:pPr>
        <w:pStyle w:val="16"/>
        <w:spacing w:after="0" w:line="240" w:lineRule="auto"/>
        <w:rPr>
          <w:rFonts w:hint="eastAsia" w:eastAsia="宋体"/>
          <w:lang w:val="en-US" w:eastAsia="zh-CN"/>
        </w:rPr>
      </w:pPr>
      <w:r>
        <w:rPr>
          <w:rFonts w:hint="eastAsia" w:eastAsia="宋体"/>
          <w:lang w:val="en-US" w:eastAsia="zh-CN"/>
        </w:rPr>
        <w:t>系统涉及的所有第三方系统（包括但不限于HIS、LIS、PACS）及硬件设备的接口对接开发、联调、测试及运维费用，应全部包含在本次报价中，医院无需另行支付任何费用。</w:t>
      </w:r>
    </w:p>
    <w:p w14:paraId="30B9C2A7">
      <w:pPr>
        <w:pStyle w:val="16"/>
        <w:spacing w:after="0" w:line="240" w:lineRule="auto"/>
        <w:rPr>
          <w:rFonts w:hint="eastAsia" w:eastAsia="宋体"/>
          <w:lang w:val="en-US" w:eastAsia="zh-CN"/>
        </w:rPr>
      </w:pPr>
      <w:r>
        <w:rPr>
          <w:rFonts w:hint="eastAsia" w:eastAsia="宋体"/>
          <w:lang w:val="en-US" w:eastAsia="zh-CN"/>
        </w:rPr>
        <w:t>2. 数据读取要求：系统应通过接口从HIS、LIS、PACS等系统读取数据，具体读取字段需满足</w:t>
      </w:r>
      <w:r>
        <w:rPr>
          <w:rFonts w:hint="eastAsia"/>
          <w:lang w:val="en-US" w:eastAsia="zh-CN"/>
        </w:rPr>
        <w:t>医院</w:t>
      </w:r>
      <w:r>
        <w:rPr>
          <w:rFonts w:hint="eastAsia" w:eastAsia="宋体"/>
          <w:lang w:val="en-US" w:eastAsia="zh-CN"/>
        </w:rPr>
        <w:t>要求，并在实施阶段由双方确认的《接口需求规格说明书》中详细约定。</w:t>
      </w:r>
    </w:p>
    <w:p w14:paraId="33311D89">
      <w:pPr>
        <w:pStyle w:val="16"/>
        <w:spacing w:after="0" w:line="240" w:lineRule="auto"/>
        <w:rPr>
          <w:rFonts w:hint="eastAsia" w:eastAsia="宋体"/>
          <w:lang w:val="en-US" w:eastAsia="zh-CN"/>
        </w:rPr>
      </w:pPr>
      <w:r>
        <w:rPr>
          <w:rFonts w:hint="eastAsia" w:eastAsia="宋体"/>
          <w:lang w:val="en-US" w:eastAsia="zh-CN"/>
        </w:rPr>
        <w:t>3. 接口交付物要求</w:t>
      </w:r>
    </w:p>
    <w:p w14:paraId="2A1256C6">
      <w:pPr>
        <w:pStyle w:val="16"/>
        <w:spacing w:after="0" w:line="240" w:lineRule="auto"/>
        <w:rPr>
          <w:rFonts w:hint="eastAsia" w:eastAsia="宋体"/>
          <w:lang w:val="en-US" w:eastAsia="zh-CN"/>
        </w:rPr>
      </w:pPr>
      <w:r>
        <w:rPr>
          <w:rFonts w:hint="eastAsia" w:eastAsia="宋体"/>
          <w:lang w:val="en-US" w:eastAsia="zh-CN"/>
        </w:rPr>
        <w:t>系统上线前，须向医院交付完整的接口技术文档，包括但不限于：接口清单、接口调用方式说明、数据字典、错误码对照表、接口测试报告。所有接口文档须与正式运行环境保持一致。</w:t>
      </w:r>
    </w:p>
    <w:p w14:paraId="3CD228FE">
      <w:pPr>
        <w:pStyle w:val="16"/>
        <w:spacing w:after="0" w:line="240" w:lineRule="auto"/>
        <w:rPr>
          <w:rFonts w:hint="eastAsia" w:eastAsia="宋体"/>
          <w:lang w:val="en-US" w:eastAsia="zh-CN"/>
        </w:rPr>
      </w:pPr>
      <w:r>
        <w:rPr>
          <w:rFonts w:hint="eastAsia" w:eastAsia="宋体"/>
          <w:lang w:val="en-US" w:eastAsia="zh-CN"/>
        </w:rPr>
        <w:t>4. 接口可用性保障</w:t>
      </w:r>
    </w:p>
    <w:p w14:paraId="400F1F7B">
      <w:pPr>
        <w:pStyle w:val="16"/>
        <w:spacing w:after="0" w:line="240" w:lineRule="auto"/>
        <w:rPr>
          <w:rFonts w:hint="eastAsia" w:eastAsia="宋体"/>
          <w:lang w:val="en-US" w:eastAsia="zh-CN"/>
        </w:rPr>
      </w:pPr>
      <w:r>
        <w:rPr>
          <w:rFonts w:hint="eastAsia" w:eastAsia="宋体"/>
          <w:lang w:val="en-US" w:eastAsia="zh-CN"/>
        </w:rPr>
        <w:t>运维服务期内，因医院第三方系统升级、更换等原因导致的接口失效，供应商须在收到通知后5个工作日内完成接口适配调整，确保系统恢复正常数据交互，相关费用需包含在整体费用中。</w:t>
      </w:r>
    </w:p>
    <w:p w14:paraId="17E4539D">
      <w:pPr>
        <w:pStyle w:val="16"/>
        <w:spacing w:after="0" w:line="240" w:lineRule="auto"/>
        <w:rPr>
          <w:rFonts w:hint="eastAsia" w:eastAsia="宋体"/>
          <w:lang w:val="en-US" w:eastAsia="zh-CN"/>
        </w:rPr>
      </w:pPr>
    </w:p>
    <w:p w14:paraId="4201D227">
      <w:pPr>
        <w:pStyle w:val="16"/>
        <w:spacing w:after="0" w:line="240" w:lineRule="auto"/>
        <w:rPr>
          <w:rFonts w:hint="eastAsia" w:eastAsia="宋体"/>
          <w:lang w:val="en-US" w:eastAsia="zh-CN"/>
        </w:rPr>
      </w:pPr>
    </w:p>
    <w:p w14:paraId="3D4149E6">
      <w:pPr>
        <w:rPr>
          <w:rFonts w:hint="eastAsia" w:eastAsia="宋体"/>
          <w:lang w:val="en-US" w:eastAsia="zh-CN"/>
        </w:rPr>
      </w:pPr>
      <w:r>
        <w:rPr>
          <w:rFonts w:hint="eastAsia" w:eastAsia="宋体"/>
          <w:lang w:val="en-US" w:eastAsia="zh-CN"/>
        </w:rPr>
        <w:br w:type="page"/>
      </w:r>
    </w:p>
    <w:tbl>
      <w:tblPr>
        <w:tblStyle w:val="19"/>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8"/>
        <w:gridCol w:w="6127"/>
      </w:tblGrid>
      <w:tr w14:paraId="756C9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9195" w:type="dxa"/>
            <w:gridSpan w:val="2"/>
            <w:tcBorders>
              <w:top w:val="single" w:color="auto" w:sz="4" w:space="0"/>
              <w:left w:val="single" w:color="auto" w:sz="4" w:space="0"/>
              <w:bottom w:val="single" w:color="auto" w:sz="4" w:space="0"/>
              <w:right w:val="single" w:color="auto" w:sz="4" w:space="0"/>
            </w:tcBorders>
            <w:vAlign w:val="center"/>
          </w:tcPr>
          <w:p w14:paraId="78C0B029">
            <w:pPr>
              <w:spacing w:after="156" w:afterLines="50" w:line="240" w:lineRule="auto"/>
              <w:jc w:val="center"/>
              <w:rPr>
                <w:rFonts w:ascii="Calibri" w:hAnsi="Calibri" w:eastAsia="宋体" w:cs="Times New Roman"/>
                <w:color w:val="000000"/>
                <w:kern w:val="2"/>
                <w:sz w:val="24"/>
                <w:szCs w:val="24"/>
                <w:lang w:eastAsia="zh-CN" w:bidi="ar-SA"/>
                <w14:ligatures w14:val="none"/>
              </w:rPr>
            </w:pPr>
            <w:r>
              <w:rPr>
                <w:rFonts w:hint="eastAsia" w:ascii="仿宋" w:hAnsi="仿宋" w:eastAsia="仿宋" w:cs="仿宋"/>
                <w:b/>
                <w:bCs/>
                <w:color w:val="000000"/>
                <w:kern w:val="2"/>
                <w:sz w:val="24"/>
                <w:szCs w:val="24"/>
                <w:lang w:eastAsia="zh-CN" w:bidi="ar"/>
                <w14:ligatures w14:val="none"/>
              </w:rPr>
              <w:t>厂商基本信息表</w:t>
            </w:r>
          </w:p>
        </w:tc>
      </w:tr>
      <w:tr w14:paraId="42D8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5C614814">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产品相关产业发展情况（请详述全国产业情况及本公司发展情况）</w:t>
            </w:r>
          </w:p>
        </w:tc>
        <w:tc>
          <w:tcPr>
            <w:tcW w:w="6127" w:type="dxa"/>
            <w:tcBorders>
              <w:top w:val="single" w:color="auto" w:sz="4" w:space="0"/>
              <w:left w:val="single" w:color="auto" w:sz="4" w:space="0"/>
              <w:bottom w:val="single" w:color="auto" w:sz="4" w:space="0"/>
              <w:right w:val="single" w:color="auto" w:sz="4" w:space="0"/>
            </w:tcBorders>
            <w:vAlign w:val="center"/>
          </w:tcPr>
          <w:p w14:paraId="26C4B354">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p w14:paraId="7BBD75B6">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1.全国情况：</w:t>
            </w:r>
          </w:p>
          <w:p w14:paraId="7F058497">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2.本公司情况：</w:t>
            </w:r>
          </w:p>
        </w:tc>
      </w:tr>
      <w:tr w14:paraId="7EA9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2136AA96">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产品市场供给情况（简述本公司年供给情况，且另附佐证材料）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66FB46EF">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tc>
      </w:tr>
      <w:tr w14:paraId="1688F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024C6769">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同类产品成交情况（进三年的成交情况，且另附佐证材料）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5E11436C">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文字描述</w:t>
            </w:r>
          </w:p>
        </w:tc>
      </w:tr>
      <w:tr w14:paraId="27835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3068" w:type="dxa"/>
            <w:tcBorders>
              <w:top w:val="single" w:color="auto" w:sz="4" w:space="0"/>
              <w:left w:val="single" w:color="auto" w:sz="4" w:space="0"/>
              <w:bottom w:val="single" w:color="auto" w:sz="4" w:space="0"/>
              <w:right w:val="single" w:color="auto" w:sz="4" w:space="0"/>
            </w:tcBorders>
            <w:vAlign w:val="center"/>
          </w:tcPr>
          <w:p w14:paraId="3C3EC4CE">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公司企业类型（另附佐证材料）</w:t>
            </w:r>
          </w:p>
        </w:tc>
        <w:tc>
          <w:tcPr>
            <w:tcW w:w="6127" w:type="dxa"/>
            <w:tcBorders>
              <w:top w:val="single" w:color="auto" w:sz="4" w:space="0"/>
              <w:left w:val="single" w:color="auto" w:sz="4" w:space="0"/>
              <w:bottom w:val="single" w:color="auto" w:sz="4" w:space="0"/>
              <w:right w:val="single" w:color="auto" w:sz="4" w:space="0"/>
            </w:tcBorders>
            <w:vAlign w:val="center"/>
          </w:tcPr>
          <w:p w14:paraId="2EDA88FA">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大型企业（）中型企业（）小型企业（）微型企业（）监狱企业（）其他</w:t>
            </w:r>
            <w:r>
              <w:rPr>
                <w:rFonts w:ascii="Calibri" w:hAnsi="Calibri" w:eastAsia="宋体" w:cs="Times New Roman"/>
                <w:color w:val="000000"/>
                <w:kern w:val="2"/>
                <w:sz w:val="24"/>
                <w:szCs w:val="24"/>
                <w:lang w:eastAsia="zh-CN" w:bidi="ar-SA"/>
                <w14:ligatures w14:val="none"/>
              </w:rPr>
              <w:t>注：“是”打√</w:t>
            </w:r>
          </w:p>
        </w:tc>
      </w:tr>
    </w:tbl>
    <w:p w14:paraId="51B36C0D">
      <w:pPr>
        <w:spacing w:after="0" w:line="360" w:lineRule="auto"/>
        <w:jc w:val="right"/>
        <w:rPr>
          <w:rFonts w:ascii="仿宋_GB2312" w:hAnsi="仿宋_GB2312" w:eastAsia="仿宋_GB2312" w:cs="Times New Roman"/>
          <w:b/>
          <w:color w:val="000000"/>
          <w:kern w:val="2"/>
          <w:sz w:val="24"/>
          <w:szCs w:val="24"/>
          <w:lang w:eastAsia="zh-CN" w:bidi="ar-SA"/>
          <w14:ligatures w14:val="none"/>
        </w:rPr>
      </w:pPr>
    </w:p>
    <w:p w14:paraId="362528FF">
      <w:pPr>
        <w:spacing w:after="0" w:line="360" w:lineRule="auto"/>
        <w:jc w:val="right"/>
        <w:rPr>
          <w:rFonts w:ascii="仿宋_GB2312" w:hAnsi="仿宋_GB2312" w:eastAsia="仿宋_GB2312" w:cs="Times New Roman"/>
          <w:b/>
          <w:color w:val="000000"/>
          <w:kern w:val="2"/>
          <w:sz w:val="24"/>
          <w:szCs w:val="24"/>
          <w:lang w:eastAsia="zh-CN" w:bidi="ar-SA"/>
          <w14:ligatures w14:val="none"/>
        </w:rPr>
      </w:pPr>
      <w:r>
        <w:rPr>
          <w:rFonts w:hint="eastAsia" w:ascii="仿宋_GB2312" w:hAnsi="仿宋_GB2312" w:eastAsia="仿宋_GB2312" w:cs="Times New Roman"/>
          <w:b/>
          <w:color w:val="000000"/>
          <w:kern w:val="2"/>
          <w:sz w:val="24"/>
          <w:szCs w:val="24"/>
          <w:lang w:eastAsia="zh-CN" w:bidi="ar-SA"/>
          <w14:ligatures w14:val="none"/>
        </w:rPr>
        <w:t>厂家（商）：盖公章</w:t>
      </w:r>
    </w:p>
    <w:p w14:paraId="504477C9">
      <w:pPr>
        <w:spacing w:after="156" w:afterLines="50" w:line="240" w:lineRule="auto"/>
        <w:jc w:val="right"/>
        <w:rPr>
          <w:rFonts w:ascii="Calibri" w:hAnsi="Calibri" w:eastAsia="宋体" w:cs="Times New Roman"/>
          <w:color w:val="000000"/>
          <w:kern w:val="2"/>
          <w:sz w:val="24"/>
          <w:szCs w:val="24"/>
          <w:lang w:eastAsia="zh-CN" w:bidi="ar-SA"/>
          <w14:ligatures w14:val="none"/>
        </w:rPr>
      </w:pPr>
      <w:r>
        <w:rPr>
          <w:rFonts w:hint="eastAsia" w:ascii="仿宋_GB2312" w:hAnsi="仿宋_GB2312" w:eastAsia="仿宋_GB2312" w:cs="Times New Roman"/>
          <w:b/>
          <w:color w:val="000000"/>
          <w:kern w:val="2"/>
          <w:sz w:val="28"/>
          <w:szCs w:val="24"/>
          <w:lang w:eastAsia="zh-CN" w:bidi="ar-SA"/>
          <w14:ligatures w14:val="none"/>
        </w:rPr>
        <w:t>日期：   年   月   日</w:t>
      </w:r>
    </w:p>
    <w:p w14:paraId="2D6BFC27">
      <w:pPr>
        <w:spacing w:after="0" w:line="240" w:lineRule="auto"/>
        <w:jc w:val="both"/>
        <w:rPr>
          <w:rFonts w:ascii="Calibri" w:hAnsi="Calibri" w:eastAsia="宋体" w:cs="Times New Roman"/>
          <w:color w:val="000000"/>
          <w:kern w:val="2"/>
          <w:sz w:val="24"/>
          <w:szCs w:val="24"/>
          <w:lang w:eastAsia="zh-CN" w:bidi="ar-SA"/>
          <w14:ligatures w14:val="none"/>
        </w:rPr>
      </w:pPr>
    </w:p>
    <w:p w14:paraId="09FF7B5B">
      <w:pPr>
        <w:spacing w:after="156" w:afterLines="50" w:line="240" w:lineRule="auto"/>
        <w:jc w:val="both"/>
        <w:rPr>
          <w:rFonts w:ascii="Calibri" w:hAnsi="Calibri" w:eastAsia="宋体" w:cs="Times New Roman"/>
          <w:color w:val="000000"/>
          <w:kern w:val="2"/>
          <w:sz w:val="24"/>
          <w:szCs w:val="24"/>
          <w:lang w:eastAsia="zh-CN" w:bidi="ar-SA"/>
          <w14:ligatures w14:val="none"/>
        </w:rPr>
      </w:pPr>
      <w:r>
        <w:rPr>
          <w:rFonts w:ascii="Calibri" w:hAnsi="Calibri" w:eastAsia="宋体" w:cs="Times New Roman"/>
          <w:color w:val="000000"/>
          <w:kern w:val="2"/>
          <w:sz w:val="24"/>
          <w:szCs w:val="24"/>
          <w:lang w:eastAsia="zh-CN" w:bidi="ar-SA"/>
          <w14:ligatures w14:val="none"/>
        </w:rPr>
        <w:br w:type="page"/>
      </w:r>
    </w:p>
    <w:p w14:paraId="4095CC7E">
      <w:pPr>
        <w:spacing w:after="0" w:line="240" w:lineRule="auto"/>
        <w:jc w:val="center"/>
        <w:rPr>
          <w:rFonts w:hint="eastAsia" w:ascii="方正小标宋_GBK" w:hAnsi="方正小标宋_GBK" w:eastAsia="方正小标宋_GBK" w:cs="方正小标宋_GBK"/>
          <w:color w:val="000000"/>
          <w:kern w:val="2"/>
          <w:sz w:val="36"/>
          <w:szCs w:val="36"/>
          <w:lang w:val="en-US" w:eastAsia="zh-CN" w:bidi="ar-SA"/>
          <w14:ligatures w14:val="none"/>
        </w:rPr>
      </w:pPr>
      <w:r>
        <w:rPr>
          <w:rFonts w:hint="eastAsia" w:ascii="方正小标宋_GBK" w:hAnsi="方正小标宋_GBK" w:eastAsia="方正小标宋_GBK" w:cs="方正小标宋_GBK"/>
          <w:color w:val="000000"/>
          <w:kern w:val="2"/>
          <w:sz w:val="36"/>
          <w:szCs w:val="36"/>
          <w:lang w:eastAsia="zh-CN" w:bidi="ar-SA"/>
          <w14:ligatures w14:val="none"/>
        </w:rPr>
        <w:t>成都市第二人民医院</w:t>
      </w:r>
      <w:r>
        <w:rPr>
          <w:rFonts w:hint="eastAsia" w:ascii="方正小标宋_GBK" w:hAnsi="方正小标宋_GBK" w:eastAsia="方正小标宋_GBK" w:cs="方正小标宋_GBK"/>
          <w:color w:val="000000"/>
          <w:kern w:val="2"/>
          <w:sz w:val="36"/>
          <w:szCs w:val="36"/>
          <w:lang w:val="en-US" w:eastAsia="zh-CN" w:bidi="ar-SA"/>
          <w14:ligatures w14:val="none"/>
        </w:rPr>
        <w:t>眼科数智诊疗平台建设</w:t>
      </w:r>
    </w:p>
    <w:p w14:paraId="7B48BA74">
      <w:pPr>
        <w:spacing w:after="0" w:line="240" w:lineRule="auto"/>
        <w:jc w:val="center"/>
        <w:rPr>
          <w:rFonts w:ascii="方正小标宋简体" w:hAnsi="方正小标宋简体" w:eastAsia="方正小标宋_GBK" w:cs="Times New Roman"/>
          <w:color w:val="000000"/>
          <w:kern w:val="2"/>
          <w:sz w:val="36"/>
          <w:szCs w:val="36"/>
          <w:lang w:eastAsia="zh-CN" w:bidi="ar-SA"/>
          <w14:ligatures w14:val="none"/>
        </w:rPr>
      </w:pPr>
      <w:r>
        <w:rPr>
          <w:rFonts w:hint="eastAsia" w:ascii="方正小标宋_GBK" w:hAnsi="方正小标宋_GBK" w:eastAsia="方正小标宋_GBK" w:cs="方正小标宋_GBK"/>
          <w:color w:val="000000"/>
          <w:kern w:val="2"/>
          <w:sz w:val="36"/>
          <w:szCs w:val="36"/>
          <w:lang w:eastAsia="zh-CN" w:bidi="ar-SA"/>
          <w14:ligatures w14:val="none"/>
        </w:rPr>
        <w:t>项目报价表</w:t>
      </w:r>
    </w:p>
    <w:p w14:paraId="433E4DCB">
      <w:pPr>
        <w:spacing w:after="0" w:line="240" w:lineRule="auto"/>
        <w:jc w:val="both"/>
        <w:rPr>
          <w:rFonts w:ascii="Calibri" w:hAnsi="Calibri" w:eastAsia="宋体" w:cs="Times New Roman"/>
          <w:color w:val="000000"/>
          <w:kern w:val="2"/>
          <w:sz w:val="24"/>
          <w:szCs w:val="24"/>
          <w:lang w:eastAsia="zh-CN" w:bidi="ar-SA"/>
          <w14:ligatures w14:val="none"/>
        </w:rPr>
      </w:pPr>
    </w:p>
    <w:tbl>
      <w:tblPr>
        <w:tblStyle w:val="19"/>
        <w:tblW w:w="9155" w:type="dxa"/>
        <w:jc w:val="center"/>
        <w:tblLayout w:type="fixed"/>
        <w:tblCellMar>
          <w:top w:w="0" w:type="dxa"/>
          <w:left w:w="0" w:type="dxa"/>
          <w:bottom w:w="0" w:type="dxa"/>
          <w:right w:w="0" w:type="dxa"/>
        </w:tblCellMar>
      </w:tblPr>
      <w:tblGrid>
        <w:gridCol w:w="1413"/>
        <w:gridCol w:w="1569"/>
        <w:gridCol w:w="3752"/>
        <w:gridCol w:w="1230"/>
        <w:gridCol w:w="1191"/>
      </w:tblGrid>
      <w:tr w14:paraId="30AE23EF">
        <w:tblPrEx>
          <w:tblCellMar>
            <w:top w:w="0" w:type="dxa"/>
            <w:left w:w="0" w:type="dxa"/>
            <w:bottom w:w="0" w:type="dxa"/>
            <w:right w:w="0" w:type="dxa"/>
          </w:tblCellMar>
        </w:tblPrEx>
        <w:trPr>
          <w:trHeight w:val="710" w:hRule="atLeast"/>
          <w:jc w:val="center"/>
        </w:trPr>
        <w:tc>
          <w:tcPr>
            <w:tcW w:w="141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FD89DB0">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项目</w:t>
            </w:r>
          </w:p>
        </w:tc>
        <w:tc>
          <w:tcPr>
            <w:tcW w:w="1569"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14:paraId="1296C1DB">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内容</w:t>
            </w:r>
          </w:p>
        </w:tc>
        <w:tc>
          <w:tcPr>
            <w:tcW w:w="3752"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14:paraId="02064BF6">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用途</w:t>
            </w:r>
          </w:p>
        </w:tc>
        <w:tc>
          <w:tcPr>
            <w:tcW w:w="1230"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688782C8">
            <w:pPr>
              <w:spacing w:after="0" w:line="240" w:lineRule="auto"/>
              <w:jc w:val="center"/>
              <w:rPr>
                <w:rFonts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eastAsia="zh-CN" w:bidi="ar-SA"/>
                <w14:ligatures w14:val="none"/>
              </w:rPr>
              <w:t>报价</w:t>
            </w:r>
          </w:p>
        </w:tc>
        <w:tc>
          <w:tcPr>
            <w:tcW w:w="1191" w:type="dxa"/>
            <w:tcBorders>
              <w:top w:val="single" w:color="auto" w:sz="4" w:space="0"/>
              <w:left w:val="nil"/>
              <w:bottom w:val="single" w:color="auto" w:sz="4" w:space="0"/>
              <w:right w:val="single" w:color="auto" w:sz="4" w:space="0"/>
            </w:tcBorders>
            <w:shd w:val="clear" w:color="auto" w:fill="auto"/>
            <w:tcMar>
              <w:top w:w="15" w:type="dxa"/>
              <w:left w:w="15" w:type="dxa"/>
              <w:bottom w:w="0" w:type="dxa"/>
              <w:right w:w="15" w:type="dxa"/>
            </w:tcMar>
            <w:vAlign w:val="center"/>
          </w:tcPr>
          <w:p w14:paraId="77AF0FD0">
            <w:pPr>
              <w:spacing w:after="0" w:line="240" w:lineRule="auto"/>
              <w:jc w:val="center"/>
              <w:rPr>
                <w:rFonts w:hint="eastAsia"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eastAsia="zh-CN" w:bidi="ar-SA"/>
                <w14:ligatures w14:val="none"/>
              </w:rPr>
              <w:t>备注</w:t>
            </w:r>
          </w:p>
        </w:tc>
      </w:tr>
      <w:tr w14:paraId="447FCCA2">
        <w:tblPrEx>
          <w:tblCellMar>
            <w:top w:w="0" w:type="dxa"/>
            <w:left w:w="0" w:type="dxa"/>
            <w:bottom w:w="0" w:type="dxa"/>
            <w:right w:w="0" w:type="dxa"/>
          </w:tblCellMar>
        </w:tblPrEx>
        <w:trPr>
          <w:trHeight w:val="2110" w:hRule="atLeast"/>
          <w:jc w:val="center"/>
        </w:trPr>
        <w:tc>
          <w:tcPr>
            <w:tcW w:w="1413"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438D3BBE">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val="en-US" w:eastAsia="zh-CN" w:bidi="ar-SA"/>
                <w14:ligatures w14:val="none"/>
              </w:rPr>
              <w:t>眼科数智诊疗平台建设项目</w:t>
            </w:r>
          </w:p>
        </w:tc>
        <w:tc>
          <w:tcPr>
            <w:tcW w:w="1569"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14:paraId="70A71C68">
            <w:pPr>
              <w:spacing w:after="0" w:line="240" w:lineRule="auto"/>
              <w:jc w:val="both"/>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详见</w:t>
            </w:r>
            <w:r>
              <w:rPr>
                <w:rFonts w:hint="eastAsia" w:ascii="Calibri" w:hAnsi="Calibri" w:eastAsia="宋体" w:cs="Times New Roman"/>
                <w:color w:val="000000"/>
                <w:kern w:val="2"/>
                <w:sz w:val="24"/>
                <w:szCs w:val="24"/>
                <w:lang w:val="en-US" w:eastAsia="zh-CN" w:bidi="ar-SA"/>
                <w14:ligatures w14:val="none"/>
              </w:rPr>
              <w:t>建设</w:t>
            </w:r>
            <w:r>
              <w:rPr>
                <w:rFonts w:hint="eastAsia" w:ascii="Calibri" w:hAnsi="Calibri" w:eastAsia="宋体" w:cs="Times New Roman"/>
                <w:color w:val="000000"/>
                <w:kern w:val="2"/>
                <w:sz w:val="24"/>
                <w:szCs w:val="24"/>
                <w:lang w:eastAsia="zh-CN" w:bidi="ar-SA"/>
                <w14:ligatures w14:val="none"/>
              </w:rPr>
              <w:t>要求。</w:t>
            </w:r>
          </w:p>
        </w:tc>
        <w:tc>
          <w:tcPr>
            <w:tcW w:w="375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30DACE6">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default" w:ascii="Calibri" w:hAnsi="Calibri" w:eastAsia="宋体" w:cs="Times New Roman"/>
                <w:color w:val="000000"/>
                <w:kern w:val="2"/>
                <w:sz w:val="24"/>
                <w:szCs w:val="24"/>
                <w:lang w:val="en-US" w:eastAsia="zh-CN" w:bidi="ar-SA"/>
                <w14:ligatures w14:val="none"/>
              </w:rPr>
              <w:t>实现眼科屈光手术与视光专科业务的数字化全流程管理</w:t>
            </w:r>
            <w:r>
              <w:rPr>
                <w:rFonts w:hint="eastAsia" w:ascii="Calibri" w:hAnsi="Calibri" w:eastAsia="宋体" w:cs="Times New Roman"/>
                <w:color w:val="000000"/>
                <w:kern w:val="2"/>
                <w:sz w:val="24"/>
                <w:szCs w:val="24"/>
                <w:lang w:val="en-US" w:eastAsia="zh-CN" w:bidi="ar-SA"/>
                <w14:ligatures w14:val="none"/>
              </w:rPr>
              <w:t>。</w:t>
            </w:r>
          </w:p>
        </w:tc>
        <w:tc>
          <w:tcPr>
            <w:tcW w:w="123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4473190">
            <w:pPr>
              <w:spacing w:after="0" w:line="240" w:lineRule="auto"/>
              <w:jc w:val="both"/>
              <w:rPr>
                <w:rFonts w:ascii="Calibri" w:hAnsi="Calibri" w:eastAsia="宋体" w:cs="Times New Roman"/>
                <w:color w:val="000000"/>
                <w:kern w:val="2"/>
                <w:sz w:val="24"/>
                <w:szCs w:val="24"/>
                <w:lang w:eastAsia="zh-CN" w:bidi="ar-SA"/>
                <w14:ligatures w14:val="none"/>
              </w:rPr>
            </w:pPr>
          </w:p>
        </w:tc>
        <w:tc>
          <w:tcPr>
            <w:tcW w:w="119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E3323E8">
            <w:pPr>
              <w:spacing w:after="0" w:line="240" w:lineRule="auto"/>
              <w:jc w:val="both"/>
              <w:rPr>
                <w:rFonts w:hint="default" w:ascii="Calibri" w:hAnsi="Calibri" w:eastAsia="宋体" w:cs="Times New Roman"/>
                <w:color w:val="000000"/>
                <w:kern w:val="2"/>
                <w:sz w:val="24"/>
                <w:szCs w:val="24"/>
                <w:lang w:val="en-US" w:eastAsia="zh-CN" w:bidi="ar-SA"/>
                <w14:ligatures w14:val="none"/>
              </w:rPr>
            </w:pPr>
            <w:r>
              <w:rPr>
                <w:rFonts w:hint="eastAsia" w:ascii="Calibri" w:hAnsi="Calibri" w:eastAsia="宋体" w:cs="Times New Roman"/>
                <w:color w:val="000000"/>
                <w:kern w:val="2"/>
                <w:sz w:val="24"/>
                <w:szCs w:val="24"/>
                <w:lang w:val="en-US" w:eastAsia="zh-CN" w:bidi="ar-SA"/>
                <w14:ligatures w14:val="none"/>
              </w:rPr>
              <w:t>按照分项报价（软件各模块、计算资源、运维等）</w:t>
            </w:r>
          </w:p>
        </w:tc>
      </w:tr>
    </w:tbl>
    <w:p w14:paraId="4D3BE1C9">
      <w:pPr>
        <w:spacing w:after="0" w:line="240" w:lineRule="auto"/>
        <w:ind w:left="708" w:leftChars="295"/>
        <w:jc w:val="both"/>
        <w:rPr>
          <w:rFonts w:ascii="Calibri" w:hAnsi="Calibri" w:eastAsia="宋体" w:cs="Times New Roman"/>
          <w:color w:val="000000"/>
          <w:kern w:val="2"/>
          <w:sz w:val="24"/>
          <w:szCs w:val="24"/>
          <w:lang w:eastAsia="zh-CN" w:bidi="ar-SA"/>
          <w14:ligatures w14:val="none"/>
        </w:rPr>
      </w:pPr>
    </w:p>
    <w:p w14:paraId="10B6980F">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报价公司：</w:t>
      </w:r>
    </w:p>
    <w:p w14:paraId="48EEB410">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联系方式：</w:t>
      </w:r>
    </w:p>
    <w:p w14:paraId="0A69BA1B">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是否对需求内容完全响应：</w:t>
      </w:r>
    </w:p>
    <w:p w14:paraId="3ACAFEB3">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r>
        <w:rPr>
          <w:rFonts w:hint="eastAsia" w:ascii="Calibri" w:hAnsi="Calibri" w:eastAsia="宋体" w:cs="Times New Roman"/>
          <w:smallCaps/>
          <w:color w:val="000000"/>
          <w:kern w:val="2"/>
          <w:sz w:val="24"/>
          <w:szCs w:val="24"/>
          <w:lang w:eastAsia="zh-CN" w:bidi="ar-SA"/>
          <w14:ligatures w14:val="none"/>
        </w:rPr>
        <w:t>日期：</w:t>
      </w:r>
    </w:p>
    <w:p w14:paraId="0A91CA8B">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p>
    <w:p w14:paraId="752271ED">
      <w:pPr>
        <w:widowControl/>
        <w:spacing w:after="120" w:line="360" w:lineRule="auto"/>
        <w:ind w:firstLine="720" w:firstLineChars="300"/>
        <w:jc w:val="left"/>
        <w:rPr>
          <w:rFonts w:ascii="Calibri" w:hAnsi="Calibri" w:eastAsia="宋体" w:cs="Times New Roman"/>
          <w:smallCaps/>
          <w:color w:val="000000"/>
          <w:kern w:val="2"/>
          <w:sz w:val="24"/>
          <w:szCs w:val="24"/>
          <w:lang w:eastAsia="zh-CN" w:bidi="ar-SA"/>
          <w14:ligatures w14:val="none"/>
        </w:rPr>
      </w:pPr>
    </w:p>
    <w:p w14:paraId="09B4A746">
      <w:pPr>
        <w:spacing w:after="0" w:line="240" w:lineRule="auto"/>
        <w:jc w:val="both"/>
        <w:rPr>
          <w:rFonts w:ascii="Calibri" w:hAnsi="Calibri" w:eastAsia="宋体" w:cs="Times New Roman"/>
          <w:color w:val="000000"/>
          <w:kern w:val="2"/>
          <w:sz w:val="24"/>
          <w:szCs w:val="24"/>
          <w:lang w:eastAsia="zh-CN" w:bidi="ar-SA"/>
          <w14:ligatures w14:val="none"/>
        </w:rPr>
      </w:pPr>
    </w:p>
    <w:p w14:paraId="44AD527B">
      <w:pPr>
        <w:spacing w:after="0" w:line="240" w:lineRule="auto"/>
        <w:jc w:val="both"/>
        <w:rPr>
          <w:rFonts w:ascii="Calibri" w:hAnsi="Calibri" w:eastAsia="宋体" w:cs="Times New Roman"/>
          <w:color w:val="000000"/>
          <w:kern w:val="2"/>
          <w:sz w:val="24"/>
          <w:szCs w:val="24"/>
          <w:lang w:eastAsia="zh-CN" w:bidi="ar-SA"/>
          <w14:ligatures w14:val="none"/>
        </w:rPr>
      </w:pPr>
      <w:r>
        <w:rPr>
          <w:rFonts w:ascii="Calibri" w:hAnsi="Calibri" w:eastAsia="宋体" w:cs="Times New Roman"/>
          <w:color w:val="000000"/>
          <w:kern w:val="2"/>
          <w:sz w:val="24"/>
          <w:szCs w:val="24"/>
          <w:lang w:eastAsia="zh-CN" w:bidi="ar-SA"/>
          <w14:ligatures w14:val="none"/>
        </w:rPr>
        <w:br w:type="page"/>
      </w:r>
    </w:p>
    <w:p w14:paraId="4D6A9497">
      <w:pPr>
        <w:spacing w:after="0" w:line="240" w:lineRule="auto"/>
        <w:jc w:val="center"/>
        <w:rPr>
          <w:rFonts w:hint="eastAsia" w:ascii="方正小标宋_GBK" w:hAnsi="方正小标宋_GBK" w:eastAsia="方正小标宋_GBK" w:cs="方正小标宋_GBK"/>
          <w:color w:val="000000"/>
          <w:kern w:val="2"/>
          <w:sz w:val="36"/>
          <w:szCs w:val="36"/>
          <w:lang w:val="en-US" w:eastAsia="zh-CN" w:bidi="ar-SA"/>
          <w14:ligatures w14:val="none"/>
        </w:rPr>
      </w:pPr>
      <w:r>
        <w:rPr>
          <w:rFonts w:hint="eastAsia" w:ascii="方正小标宋_GBK" w:hAnsi="方正小标宋_GBK" w:eastAsia="方正小标宋_GBK" w:cs="方正小标宋_GBK"/>
          <w:color w:val="000000"/>
          <w:kern w:val="2"/>
          <w:sz w:val="36"/>
          <w:szCs w:val="36"/>
          <w:lang w:eastAsia="zh-CN" w:bidi="ar-SA"/>
          <w14:ligatures w14:val="none"/>
        </w:rPr>
        <w:t>成都市第二人民医院</w:t>
      </w:r>
      <w:r>
        <w:rPr>
          <w:rFonts w:hint="eastAsia" w:ascii="方正小标宋_GBK" w:hAnsi="方正小标宋_GBK" w:eastAsia="方正小标宋_GBK" w:cs="方正小标宋_GBK"/>
          <w:color w:val="000000"/>
          <w:kern w:val="2"/>
          <w:sz w:val="36"/>
          <w:szCs w:val="36"/>
          <w:lang w:val="en-US" w:eastAsia="zh-CN" w:bidi="ar-SA"/>
          <w14:ligatures w14:val="none"/>
        </w:rPr>
        <w:t>眼科数智诊疗平台建设</w:t>
      </w:r>
    </w:p>
    <w:p w14:paraId="51F81886">
      <w:pPr>
        <w:spacing w:after="0" w:line="240" w:lineRule="auto"/>
        <w:jc w:val="center"/>
        <w:rPr>
          <w:rFonts w:ascii="方正小标宋简体" w:hAnsi="方正小标宋简体" w:eastAsia="方正小标宋_GBK" w:cs="Times New Roman"/>
          <w:color w:val="000000"/>
          <w:kern w:val="2"/>
          <w:sz w:val="36"/>
          <w:szCs w:val="36"/>
          <w:lang w:eastAsia="zh-CN" w:bidi="ar-SA"/>
          <w14:ligatures w14:val="none"/>
        </w:rPr>
      </w:pPr>
      <w:r>
        <w:rPr>
          <w:rFonts w:hint="eastAsia" w:ascii="方正小标宋_GBK" w:hAnsi="方正小标宋_GBK" w:eastAsia="方正小标宋_GBK" w:cs="方正小标宋_GBK"/>
          <w:color w:val="000000"/>
          <w:kern w:val="2"/>
          <w:sz w:val="36"/>
          <w:szCs w:val="36"/>
          <w:lang w:val="en-US" w:eastAsia="zh-CN" w:bidi="ar-SA"/>
          <w14:ligatures w14:val="none"/>
        </w:rPr>
        <w:t>项目</w:t>
      </w:r>
      <w:r>
        <w:rPr>
          <w:rFonts w:hint="eastAsia" w:ascii="方正小标宋_GBK" w:hAnsi="方正小标宋_GBK" w:eastAsia="方正小标宋_GBK" w:cs="方正小标宋_GBK"/>
          <w:color w:val="000000"/>
          <w:kern w:val="2"/>
          <w:sz w:val="36"/>
          <w:szCs w:val="36"/>
          <w:lang w:eastAsia="zh-CN" w:bidi="ar-SA"/>
          <w14:ligatures w14:val="none"/>
        </w:rPr>
        <w:t>建设方案</w:t>
      </w:r>
    </w:p>
    <w:p w14:paraId="12ABDEBD">
      <w:pPr>
        <w:spacing w:after="0" w:line="240" w:lineRule="auto"/>
        <w:jc w:val="center"/>
        <w:rPr>
          <w:rFonts w:ascii="Calibri" w:hAnsi="Calibri" w:eastAsia="宋体" w:cs="Times New Roman"/>
          <w:color w:val="000000"/>
          <w:kern w:val="2"/>
          <w:sz w:val="24"/>
          <w:szCs w:val="24"/>
          <w:lang w:eastAsia="zh-CN" w:bidi="ar-SA"/>
          <w14:ligatures w14:val="none"/>
        </w:rPr>
      </w:pPr>
      <w:r>
        <w:rPr>
          <w:rFonts w:hint="eastAsia" w:ascii="Calibri" w:hAnsi="Calibri" w:eastAsia="宋体" w:cs="Times New Roman"/>
          <w:color w:val="000000"/>
          <w:kern w:val="2"/>
          <w:sz w:val="24"/>
          <w:szCs w:val="24"/>
          <w:lang w:eastAsia="zh-CN" w:bidi="ar-SA"/>
          <w14:ligatures w14:val="none"/>
        </w:rPr>
        <w:t>（模板）</w:t>
      </w:r>
    </w:p>
    <w:p w14:paraId="0A19E0F9">
      <w:pPr>
        <w:spacing w:after="0" w:line="240" w:lineRule="auto"/>
        <w:jc w:val="both"/>
        <w:rPr>
          <w:rFonts w:ascii="Calibri" w:hAnsi="Calibri" w:eastAsia="宋体" w:cs="Times New Roman"/>
          <w:color w:val="000000"/>
          <w:kern w:val="2"/>
          <w:sz w:val="24"/>
          <w:szCs w:val="24"/>
          <w:lang w:eastAsia="zh-CN" w:bidi="ar-SA"/>
          <w14:ligatures w14:val="none"/>
        </w:rPr>
      </w:pPr>
    </w:p>
    <w:p w14:paraId="28F33BD9">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val="en-US" w:eastAsia="zh-CN" w:bidi="ar-SA"/>
          <w14:ligatures w14:val="none"/>
        </w:rPr>
        <w:t>一、</w:t>
      </w:r>
      <w:r>
        <w:rPr>
          <w:rFonts w:hint="eastAsia" w:ascii="仿宋" w:hAnsi="仿宋" w:eastAsia="仿宋" w:cs="Times New Roman"/>
          <w:color w:val="000000"/>
          <w:kern w:val="0"/>
          <w:sz w:val="28"/>
          <w:szCs w:val="28"/>
          <w:lang w:eastAsia="zh-CN" w:bidi="ar-SA"/>
          <w14:ligatures w14:val="none"/>
        </w:rPr>
        <w:t>需求xxx</w:t>
      </w:r>
    </w:p>
    <w:p w14:paraId="10E23652">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1．需求xxx</w:t>
      </w:r>
    </w:p>
    <w:p w14:paraId="574648F1">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6D26068A">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2E618718">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2.需求xxx</w:t>
      </w:r>
    </w:p>
    <w:p w14:paraId="6C8E0E23">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30DCC556">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2630BE9B">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3.需求xxx</w:t>
      </w:r>
    </w:p>
    <w:p w14:paraId="1B68D974">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回复：（是/否完全响应）</w:t>
      </w:r>
    </w:p>
    <w:p w14:paraId="0665D5D4">
      <w:pPr>
        <w:keepNext w:val="0"/>
        <w:keepLines w:val="0"/>
        <w:pageBreakBefore w:val="0"/>
        <w:widowControl/>
        <w:kinsoku/>
        <w:wordWrap/>
        <w:overflowPunct/>
        <w:topLinePunct w:val="0"/>
        <w:autoSpaceDE/>
        <w:autoSpaceDN/>
        <w:bidi w:val="0"/>
        <w:adjustRightInd w:val="0"/>
        <w:snapToGrid w:val="0"/>
        <w:spacing w:after="156" w:afterLines="50" w:line="560" w:lineRule="exact"/>
        <w:ind w:firstLine="560" w:firstLineChars="200"/>
        <w:jc w:val="both"/>
        <w:textAlignment w:val="auto"/>
        <w:rPr>
          <w:rFonts w:ascii="仿宋" w:hAnsi="仿宋" w:eastAsia="仿宋" w:cs="Times New Roman"/>
          <w:color w:val="000000"/>
          <w:kern w:val="0"/>
          <w:sz w:val="28"/>
          <w:szCs w:val="28"/>
          <w:lang w:eastAsia="zh-CN" w:bidi="ar-SA"/>
          <w14:ligatures w14:val="none"/>
        </w:rPr>
      </w:pPr>
      <w:r>
        <w:rPr>
          <w:rFonts w:hint="eastAsia" w:ascii="仿宋" w:hAnsi="仿宋" w:eastAsia="仿宋" w:cs="Times New Roman"/>
          <w:color w:val="000000"/>
          <w:kern w:val="0"/>
          <w:sz w:val="28"/>
          <w:szCs w:val="28"/>
          <w:lang w:eastAsia="zh-CN" w:bidi="ar-SA"/>
          <w14:ligatures w14:val="none"/>
        </w:rPr>
        <w:t>具体方案：</w:t>
      </w:r>
    </w:p>
    <w:p w14:paraId="3FC31D1C">
      <w:pPr>
        <w:pStyle w:val="16"/>
        <w:spacing w:after="0" w:line="240" w:lineRule="auto"/>
        <w:rPr>
          <w:rFonts w:hint="eastAsia" w:eastAsia="宋体"/>
          <w:lang w:val="en-US" w:eastAsia="zh-CN"/>
        </w:rPr>
      </w:pPr>
      <w:r>
        <w:rPr>
          <w:rFonts w:ascii="仿宋" w:hAnsi="仿宋" w:eastAsia="仿宋" w:cs="Times New Roman"/>
          <w:color w:val="000000"/>
          <w:kern w:val="0"/>
          <w:sz w:val="28"/>
          <w:szCs w:val="28"/>
          <w:lang w:eastAsia="zh-CN" w:bidi="ar-SA"/>
          <w14:ligatures w14:val="none"/>
        </w:rPr>
        <w:t>二、其它</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5BD6E25B-3DEC-48E5-AF9C-D5548171839A}"/>
  </w:font>
  <w:font w:name="等线 Light">
    <w:panose1 w:val="02010600030101010101"/>
    <w:charset w:val="86"/>
    <w:family w:val="auto"/>
    <w:pitch w:val="default"/>
    <w:sig w:usb0="A00002BF" w:usb1="38CF7CFA" w:usb2="00000016" w:usb3="00000000" w:csb0="0004000F" w:csb1="0000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00"/>
    <w:family w:val="auto"/>
    <w:pitch w:val="default"/>
    <w:sig w:usb0="00000000" w:usb1="00000000" w:usb2="00000000" w:usb3="00000000" w:csb0="00000000" w:csb1="00000000"/>
    <w:embedRegular r:id="rId2" w:fontKey="{53138608-C017-42C3-9E50-0719D008E360}"/>
  </w:font>
  <w:font w:name="仿宋">
    <w:panose1 w:val="02010609060101010101"/>
    <w:charset w:val="86"/>
    <w:family w:val="auto"/>
    <w:pitch w:val="default"/>
    <w:sig w:usb0="800002BF" w:usb1="38CF7CFA" w:usb2="00000016" w:usb3="00000000" w:csb0="00040001" w:csb1="00000000"/>
    <w:embedRegular r:id="rId3" w:fontKey="{E5895602-31DF-4DFA-91A4-D58A006396AF}"/>
  </w:font>
  <w:font w:name="方正小标宋简体">
    <w:panose1 w:val="02000000000000000000"/>
    <w:charset w:val="86"/>
    <w:family w:val="script"/>
    <w:pitch w:val="default"/>
    <w:sig w:usb0="00000001" w:usb1="08000000" w:usb2="00000000" w:usb3="00000000" w:csb0="00040000" w:csb1="00000000"/>
    <w:embedRegular r:id="rId4" w:fontKey="{3702EC2F-090F-46CE-B3B2-FD18B8FAA8FB}"/>
  </w:font>
  <w:font w:name="KSOFE44F9426">
    <w:panose1 w:val="02010609060101010101"/>
    <w:charset w:val="86"/>
    <w:family w:val="auto"/>
    <w:pitch w:val="default"/>
    <w:sig w:usb0="00000001" w:usb1="00000000" w:usb2="00000000" w:usb3="00000000" w:csb0="00040001" w:csb1="00000000"/>
  </w:font>
  <w:font w:name="KSOF6B657194">
    <w:panose1 w:val="02020500000000000000"/>
    <w:charset w:val="88"/>
    <w:family w:val="auto"/>
    <w:pitch w:val="default"/>
    <w:sig w:usb0="00000001" w:usb1="00000000" w:usb2="00000000" w:usb3="00000000" w:csb0="0010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embedRegular r:id="rId5" w:fontKey="{ECEAAF5E-620E-4084-95AB-A3EFBFBCFAC4}"/>
  </w:font>
  <w:font w:name="方正小标宋_GBK">
    <w:panose1 w:val="03000509000000000000"/>
    <w:charset w:val="86"/>
    <w:family w:val="script"/>
    <w:pitch w:val="default"/>
    <w:sig w:usb0="00000001" w:usb1="080E0000" w:usb2="00000000" w:usb3="00000000" w:csb0="00040000" w:csb1="00000000"/>
    <w:embedRegular r:id="rId6" w:fontKey="{2AE5C96B-144D-4C5E-9BA6-5180497598EF}"/>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C4098">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B4E7A9">
                          <w:pPr>
                            <w:pStyle w:val="14"/>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6B4E7A9">
                    <w:pPr>
                      <w:pStyle w:val="14"/>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BEA49F"/>
    <w:multiLevelType w:val="multilevel"/>
    <w:tmpl w:val="ADBEA49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BAAC462B"/>
    <w:multiLevelType w:val="multilevel"/>
    <w:tmpl w:val="BAAC462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C2976ABC"/>
    <w:multiLevelType w:val="multilevel"/>
    <w:tmpl w:val="C2976AB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F5D476CA"/>
    <w:multiLevelType w:val="multilevel"/>
    <w:tmpl w:val="F5D476C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F74C1BC4"/>
    <w:multiLevelType w:val="multilevel"/>
    <w:tmpl w:val="F74C1BC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CF71F82"/>
    <w:multiLevelType w:val="multilevel"/>
    <w:tmpl w:val="0CF71F8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0F013AF3"/>
    <w:multiLevelType w:val="multilevel"/>
    <w:tmpl w:val="0F013AF3"/>
    <w:lvl w:ilvl="0" w:tentative="0">
      <w:start w:val="1"/>
      <w:numFmt w:val="decimal"/>
      <w:pStyle w:val="42"/>
      <w:suff w:val="nothing"/>
      <w:lvlText w:val="%1."/>
      <w:lvlJc w:val="left"/>
      <w:pPr>
        <w:ind w:left="920" w:hanging="440"/>
      </w:pPr>
      <w:rPr>
        <w:rFonts w:hint="eastAsia"/>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7">
    <w:nsid w:val="0FF30AEB"/>
    <w:multiLevelType w:val="multilevel"/>
    <w:tmpl w:val="0FF30AE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1263A85E"/>
    <w:multiLevelType w:val="multilevel"/>
    <w:tmpl w:val="1263A85E"/>
    <w:lvl w:ilvl="0" w:tentative="0">
      <w:start w:val="1"/>
      <w:numFmt w:val="decimal"/>
      <w:lvlText w:val="%1、"/>
      <w:lvlJc w:val="left"/>
      <w:pPr>
        <w:ind w:left="-9" w:leftChars="0" w:firstLine="9" w:firstLineChars="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21DE6740"/>
    <w:multiLevelType w:val="multilevel"/>
    <w:tmpl w:val="21DE6740"/>
    <w:lvl w:ilvl="0" w:tentative="0">
      <w:start w:val="1"/>
      <w:numFmt w:val="chineseCountingThousand"/>
      <w:pStyle w:val="2"/>
      <w:suff w:val="nothing"/>
      <w:lvlText w:val="%1、"/>
      <w:lvlJc w:val="left"/>
      <w:pPr>
        <w:ind w:left="0" w:firstLine="0"/>
      </w:pPr>
      <w:rPr>
        <w:rFonts w:hint="default" w:ascii="Times New Roman" w:hAnsi="Times New Roman" w:eastAsia="黑体" w:cs="Times New Roman"/>
        <w:b/>
        <w:i w:val="0"/>
        <w:iCs w:val="0"/>
        <w:caps w:val="0"/>
        <w:smallCaps w:val="0"/>
        <w:strike w:val="0"/>
        <w:dstrike w:val="0"/>
        <w:color w:val="000000"/>
        <w:spacing w:val="0"/>
        <w:kern w:val="0"/>
        <w:position w:val="0"/>
        <w:sz w:val="30"/>
        <w:u w:val="none"/>
        <w:vertAlign w:val="baseline"/>
        <w14:shadow w14:blurRad="0" w14:dist="0" w14:dir="0" w14:sx="0" w14:sy="0" w14:kx="0" w14:ky="0" w14:algn="none">
          <w14:srgbClr w14:val="000000"/>
        </w14:shadow>
      </w:rPr>
    </w:lvl>
    <w:lvl w:ilvl="1" w:tentative="0">
      <w:start w:val="1"/>
      <w:numFmt w:val="decimal"/>
      <w:pStyle w:val="3"/>
      <w:isLgl/>
      <w:suff w:val="nothing"/>
      <w:lvlText w:val="%1.%2"/>
      <w:lvlJc w:val="left"/>
      <w:pPr>
        <w:ind w:left="0" w:firstLine="0"/>
      </w:pPr>
      <w:rPr>
        <w:rFonts w:hint="default" w:ascii="Times New Roman" w:hAnsi="Times New Roman" w:eastAsia="黑体" w:cs="Times New Roman"/>
        <w:b/>
        <w:bCs/>
        <w:i w:val="0"/>
        <w:iCs w:val="0"/>
        <w:caps w:val="0"/>
        <w:smallCaps w:val="0"/>
        <w:strike w:val="0"/>
        <w:dstrike w:val="0"/>
        <w:color w:val="000000"/>
        <w:spacing w:val="0"/>
        <w:position w:val="0"/>
        <w:sz w:val="30"/>
        <w:szCs w:val="32"/>
        <w:u w:val="none"/>
        <w:vertAlign w:val="baseline"/>
        <w14:shadow w14:blurRad="0" w14:dist="0" w14:dir="0" w14:sx="0" w14:sy="0" w14:kx="0" w14:ky="0" w14:algn="none">
          <w14:srgbClr w14:val="000000"/>
        </w14:shadow>
      </w:rPr>
    </w:lvl>
    <w:lvl w:ilvl="2" w:tentative="0">
      <w:start w:val="1"/>
      <w:numFmt w:val="decimal"/>
      <w:pStyle w:val="4"/>
      <w:isLgl/>
      <w:suff w:val="nothing"/>
      <w:lvlText w:val="%1.%2.%3"/>
      <w:lvlJc w:val="left"/>
      <w:pPr>
        <w:ind w:left="0" w:firstLine="0"/>
      </w:pPr>
      <w:rPr>
        <w:rFonts w:hint="default" w:ascii="Times New Roman" w:hAnsi="Times New Roman" w:eastAsia="黑体" w:cs="Times New Roman"/>
        <w:b/>
        <w:bCs/>
        <w:i w:val="0"/>
        <w:sz w:val="28"/>
        <w:szCs w:val="28"/>
      </w:rPr>
    </w:lvl>
    <w:lvl w:ilvl="3" w:tentative="0">
      <w:start w:val="1"/>
      <w:numFmt w:val="decimal"/>
      <w:pStyle w:val="5"/>
      <w:isLgl/>
      <w:suff w:val="nothing"/>
      <w:lvlText w:val="%1.%2.%3.%4"/>
      <w:lvlJc w:val="left"/>
      <w:pPr>
        <w:ind w:left="0" w:firstLine="0"/>
      </w:pPr>
      <w:rPr>
        <w:rFonts w:hint="default" w:ascii="Times New Roman" w:hAnsi="Times New Roman" w:eastAsia="黑体" w:cs="Times New Roman"/>
        <w:b/>
        <w:i w:val="0"/>
        <w:iCs w:val="0"/>
        <w:caps w:val="0"/>
        <w:smallCaps w:val="0"/>
        <w:strike w:val="0"/>
        <w:dstrike w:val="0"/>
        <w:color w:val="000000"/>
        <w:spacing w:val="0"/>
        <w:kern w:val="0"/>
        <w:position w:val="0"/>
        <w:sz w:val="28"/>
        <w:u w:val="none"/>
        <w:vertAlign w:val="baseline"/>
        <w14:shadow w14:blurRad="0" w14:dist="0" w14:dir="0" w14:sx="0" w14:sy="0" w14:kx="0" w14:ky="0" w14:algn="none">
          <w14:srgbClr w14:val="000000"/>
        </w14:shadow>
      </w:rPr>
    </w:lvl>
    <w:lvl w:ilvl="4" w:tentative="0">
      <w:start w:val="1"/>
      <w:numFmt w:val="decimal"/>
      <w:pStyle w:val="6"/>
      <w:isLgl/>
      <w:suff w:val="nothing"/>
      <w:lvlText w:val="%1.%2.%3.%4.%5"/>
      <w:lvlJc w:val="left"/>
      <w:pPr>
        <w:ind w:left="0" w:firstLine="0"/>
      </w:pPr>
      <w:rPr>
        <w:rFonts w:hint="default" w:ascii="Times New Roman" w:hAnsi="Times New Roman" w:eastAsia="黑体" w:cs="Times New Roman"/>
        <w:b/>
        <w:i w:val="0"/>
        <w:iCs w:val="0"/>
        <w:caps w:val="0"/>
        <w:smallCaps w:val="0"/>
        <w:strike w:val="0"/>
        <w:dstrike w:val="0"/>
        <w:color w:val="000000"/>
        <w:spacing w:val="0"/>
        <w:position w:val="0"/>
        <w:sz w:val="28"/>
        <w:u w:val="none"/>
        <w:vertAlign w:val="baseline"/>
        <w14:shadow w14:blurRad="0" w14:dist="0" w14:dir="0" w14:sx="0" w14:sy="0" w14:kx="0" w14:ky="0" w14:algn="none">
          <w14:srgbClr w14:val="000000"/>
        </w14:shadow>
      </w:rPr>
    </w:lvl>
    <w:lvl w:ilvl="5" w:tentative="0">
      <w:start w:val="1"/>
      <w:numFmt w:val="decimal"/>
      <w:pStyle w:val="7"/>
      <w:isLgl/>
      <w:suff w:val="nothing"/>
      <w:lvlText w:val="%1.%2.%3.%4.%5.%6"/>
      <w:lvlJc w:val="left"/>
      <w:pPr>
        <w:ind w:left="0" w:firstLine="0"/>
      </w:pPr>
      <w:rPr>
        <w:rFonts w:hint="default" w:ascii="Times New Roman" w:hAnsi="Times New Roman" w:eastAsia="黑体" w:cs="Times New Roman"/>
        <w:b/>
        <w:bCs/>
        <w:i w:val="0"/>
        <w:iCs w:val="0"/>
        <w:caps w:val="0"/>
        <w:smallCaps w:val="0"/>
        <w:strike w:val="0"/>
        <w:dstrike w:val="0"/>
        <w:color w:val="000000"/>
        <w:spacing w:val="0"/>
        <w:position w:val="0"/>
        <w:sz w:val="28"/>
        <w:u w:val="none"/>
        <w:vertAlign w:val="baseline"/>
        <w14:shadow w14:blurRad="0" w14:dist="0" w14:dir="0" w14:sx="0" w14:sy="0" w14:kx="0" w14:ky="0" w14:algn="none">
          <w14:srgbClr w14:val="000000"/>
        </w14:shadow>
      </w:rPr>
    </w:lvl>
    <w:lvl w:ilvl="6" w:tentative="0">
      <w:start w:val="1"/>
      <w:numFmt w:val="decimal"/>
      <w:pStyle w:val="8"/>
      <w:isLgl/>
      <w:suff w:val="nothing"/>
      <w:lvlText w:val="%1.%2.%3.%4.%5.%6.%7"/>
      <w:lvlJc w:val="left"/>
      <w:pPr>
        <w:ind w:left="0" w:firstLine="0"/>
      </w:pPr>
      <w:rPr>
        <w:rFonts w:hint="default" w:ascii="Times New Roman" w:hAnsi="Times New Roman" w:eastAsia="黑体" w:cs="Times New Roman"/>
        <w:b/>
        <w:bCs/>
        <w:i w:val="0"/>
        <w:iCs w:val="0"/>
        <w:caps w:val="0"/>
        <w:smallCaps w:val="0"/>
        <w:strike w:val="0"/>
        <w:dstrike w:val="0"/>
        <w:color w:val="000000"/>
        <w:spacing w:val="0"/>
        <w:position w:val="0"/>
        <w:sz w:val="28"/>
        <w:szCs w:val="28"/>
        <w:u w:val="none"/>
        <w:vertAlign w:val="baseline"/>
        <w14:shadow w14:blurRad="0" w14:dist="0" w14:dir="0" w14:sx="0" w14:sy="0" w14:kx="0" w14:ky="0" w14:algn="none">
          <w14:srgbClr w14:val="000000"/>
        </w14:shadow>
      </w:rPr>
    </w:lvl>
    <w:lvl w:ilvl="7" w:tentative="0">
      <w:start w:val="1"/>
      <w:numFmt w:val="decimal"/>
      <w:pStyle w:val="9"/>
      <w:isLgl/>
      <w:suff w:val="nothing"/>
      <w:lvlText w:val="%1.%2.%3.%4.%5.%6.%7.%8"/>
      <w:lvlJc w:val="left"/>
      <w:pPr>
        <w:ind w:left="0" w:firstLine="0"/>
      </w:pPr>
      <w:rPr>
        <w:rFonts w:hint="default" w:ascii="Times New Roman" w:hAnsi="Times New Roman" w:eastAsia="黑体" w:cs="Times New Roman"/>
        <w:b/>
        <w:i w:val="0"/>
        <w:sz w:val="28"/>
      </w:rPr>
    </w:lvl>
    <w:lvl w:ilvl="8" w:tentative="0">
      <w:start w:val="1"/>
      <w:numFmt w:val="decimal"/>
      <w:pStyle w:val="10"/>
      <w:isLgl/>
      <w:suff w:val="nothing"/>
      <w:lvlText w:val="%1.%2.%3.%4.%5.%6.%7.%8.%9"/>
      <w:lvlJc w:val="left"/>
      <w:pPr>
        <w:ind w:left="0" w:firstLine="0"/>
      </w:pPr>
      <w:rPr>
        <w:rFonts w:hint="default" w:ascii="Times New Roman" w:hAnsi="Times New Roman" w:eastAsia="黑体"/>
        <w:b/>
        <w:i w:val="0"/>
        <w:sz w:val="28"/>
      </w:rPr>
    </w:lvl>
  </w:abstractNum>
  <w:abstractNum w:abstractNumId="10">
    <w:nsid w:val="2BA93DB5"/>
    <w:multiLevelType w:val="multilevel"/>
    <w:tmpl w:val="2BA93DB5"/>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351C881D"/>
    <w:multiLevelType w:val="multilevel"/>
    <w:tmpl w:val="351C881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3EBE3709"/>
    <w:multiLevelType w:val="multilevel"/>
    <w:tmpl w:val="3EBE3709"/>
    <w:lvl w:ilvl="0" w:tentative="0">
      <w:start w:val="1"/>
      <w:numFmt w:val="decimal"/>
      <w:lvlText w:val="%1、"/>
      <w:lvlJc w:val="left"/>
      <w:pPr>
        <w:ind w:left="420" w:hanging="420"/>
      </w:pPr>
      <w:rPr>
        <w:rFonts w:ascii="宋体" w:hAnsi="宋体"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4A5A3571"/>
    <w:multiLevelType w:val="multilevel"/>
    <w:tmpl w:val="4A5A357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4EC30B45"/>
    <w:multiLevelType w:val="multilevel"/>
    <w:tmpl w:val="4EC30B45"/>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5DDFE768"/>
    <w:multiLevelType w:val="multilevel"/>
    <w:tmpl w:val="5DDFE76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60CF3C0B"/>
    <w:multiLevelType w:val="multilevel"/>
    <w:tmpl w:val="60CF3C0B"/>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72754ED0"/>
    <w:multiLevelType w:val="multilevel"/>
    <w:tmpl w:val="72754ED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9"/>
  </w:num>
  <w:num w:numId="2">
    <w:abstractNumId w:val="6"/>
  </w:num>
  <w:num w:numId="3">
    <w:abstractNumId w:val="16"/>
  </w:num>
  <w:num w:numId="4">
    <w:abstractNumId w:val="10"/>
  </w:num>
  <w:num w:numId="5">
    <w:abstractNumId w:val="13"/>
  </w:num>
  <w:num w:numId="6">
    <w:abstractNumId w:val="8"/>
  </w:num>
  <w:num w:numId="7">
    <w:abstractNumId w:val="3"/>
  </w:num>
  <w:num w:numId="8">
    <w:abstractNumId w:val="15"/>
  </w:num>
  <w:num w:numId="9">
    <w:abstractNumId w:val="12"/>
  </w:num>
  <w:num w:numId="10">
    <w:abstractNumId w:val="5"/>
  </w:num>
  <w:num w:numId="11">
    <w:abstractNumId w:val="17"/>
  </w:num>
  <w:num w:numId="12">
    <w:abstractNumId w:val="7"/>
  </w:num>
  <w:num w:numId="13">
    <w:abstractNumId w:val="11"/>
  </w:num>
  <w:num w:numId="14">
    <w:abstractNumId w:val="0"/>
  </w:num>
  <w:num w:numId="15">
    <w:abstractNumId w:val="4"/>
  </w:num>
  <w:num w:numId="16">
    <w:abstractNumId w:val="2"/>
  </w:num>
  <w:num w:numId="17">
    <w:abstractNumId w:val="14"/>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3A923B26"/>
    <w:rsid w:val="419B4308"/>
    <w:rsid w:val="79BA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pPr>
    <w:rPr>
      <w:rFonts w:ascii="Times New Roman" w:hAnsi="Times New Roman" w:eastAsia="宋体" w:cs="Times New Roman"/>
      <w:kern w:val="2"/>
      <w:sz w:val="24"/>
      <w:szCs w:val="24"/>
      <w:lang w:val="en-US" w:eastAsia="zh-CN" w:bidi="ar-SA"/>
      <w14:ligatures w14:val="none"/>
    </w:rPr>
  </w:style>
  <w:style w:type="paragraph" w:styleId="2">
    <w:name w:val="heading 1"/>
    <w:next w:val="1"/>
    <w:link w:val="28"/>
    <w:qFormat/>
    <w:uiPriority w:val="9"/>
    <w:pPr>
      <w:keepNext/>
      <w:keepLines/>
      <w:numPr>
        <w:ilvl w:val="0"/>
        <w:numId w:val="1"/>
      </w:numPr>
      <w:spacing w:before="120" w:after="120" w:line="360" w:lineRule="auto"/>
      <w:outlineLvl w:val="0"/>
    </w:pPr>
    <w:rPr>
      <w:rFonts w:ascii="Calibri" w:hAnsi="Calibri" w:eastAsia="黑体" w:cs="Times New Roman"/>
      <w:b/>
      <w:bCs/>
      <w:kern w:val="44"/>
      <w:sz w:val="30"/>
      <w:szCs w:val="44"/>
      <w:lang w:val="en-US" w:eastAsia="zh-CN" w:bidi="ar-SA"/>
      <w14:ligatures w14:val="none"/>
    </w:rPr>
  </w:style>
  <w:style w:type="paragraph" w:styleId="3">
    <w:name w:val="heading 2"/>
    <w:next w:val="1"/>
    <w:link w:val="29"/>
    <w:unhideWhenUsed/>
    <w:qFormat/>
    <w:uiPriority w:val="0"/>
    <w:pPr>
      <w:keepNext/>
      <w:keepLines/>
      <w:numPr>
        <w:ilvl w:val="1"/>
        <w:numId w:val="1"/>
      </w:numPr>
      <w:spacing w:before="120" w:after="120" w:line="360" w:lineRule="auto"/>
      <w:outlineLvl w:val="1"/>
    </w:pPr>
    <w:rPr>
      <w:rFonts w:eastAsia="黑体" w:asciiTheme="majorHAnsi" w:hAnsiTheme="majorHAnsi" w:cstheme="majorBidi"/>
      <w:b/>
      <w:bCs/>
      <w:sz w:val="28"/>
      <w:szCs w:val="32"/>
      <w:lang w:val="en-US" w:eastAsia="zh-CN" w:bidi="ar-SA"/>
      <w14:ligatures w14:val="none"/>
    </w:rPr>
  </w:style>
  <w:style w:type="paragraph" w:styleId="4">
    <w:name w:val="heading 3"/>
    <w:next w:val="1"/>
    <w:link w:val="30"/>
    <w:unhideWhenUsed/>
    <w:qFormat/>
    <w:uiPriority w:val="9"/>
    <w:pPr>
      <w:keepNext/>
      <w:keepLines/>
      <w:numPr>
        <w:ilvl w:val="2"/>
        <w:numId w:val="1"/>
      </w:numPr>
      <w:spacing w:before="120" w:after="120" w:line="360" w:lineRule="auto"/>
      <w:outlineLvl w:val="2"/>
    </w:pPr>
    <w:rPr>
      <w:rFonts w:ascii="黑体" w:hAnsi="黑体" w:eastAsia="黑体" w:cs="Times New Roman"/>
      <w:b/>
      <w:bCs/>
      <w:sz w:val="28"/>
      <w:szCs w:val="32"/>
      <w:lang w:val="en-US" w:eastAsia="zh-CN" w:bidi="ar-SA"/>
      <w14:ligatures w14:val="none"/>
    </w:rPr>
  </w:style>
  <w:style w:type="paragraph" w:styleId="5">
    <w:name w:val="heading 4"/>
    <w:next w:val="1"/>
    <w:link w:val="31"/>
    <w:unhideWhenUsed/>
    <w:qFormat/>
    <w:uiPriority w:val="9"/>
    <w:pPr>
      <w:keepNext/>
      <w:keepLines/>
      <w:numPr>
        <w:ilvl w:val="3"/>
        <w:numId w:val="1"/>
      </w:numPr>
      <w:spacing w:before="120" w:after="120" w:line="360" w:lineRule="auto"/>
      <w:outlineLvl w:val="3"/>
    </w:pPr>
    <w:rPr>
      <w:rFonts w:ascii="黑体" w:hAnsi="黑体" w:eastAsia="黑体" w:cstheme="majorBidi"/>
      <w:b/>
      <w:bCs/>
      <w:sz w:val="28"/>
      <w:szCs w:val="28"/>
      <w:lang w:val="en-US" w:eastAsia="zh-CN" w:bidi="ar-SA"/>
      <w14:ligatures w14:val="none"/>
    </w:rPr>
  </w:style>
  <w:style w:type="paragraph" w:styleId="6">
    <w:name w:val="heading 5"/>
    <w:next w:val="1"/>
    <w:link w:val="32"/>
    <w:unhideWhenUsed/>
    <w:qFormat/>
    <w:uiPriority w:val="9"/>
    <w:pPr>
      <w:keepNext/>
      <w:keepLines/>
      <w:numPr>
        <w:ilvl w:val="4"/>
        <w:numId w:val="1"/>
      </w:numPr>
      <w:spacing w:line="360" w:lineRule="auto"/>
      <w:outlineLvl w:val="4"/>
    </w:pPr>
    <w:rPr>
      <w:rFonts w:ascii="黑体" w:hAnsi="黑体" w:eastAsia="黑体" w:cs="Times New Roman"/>
      <w:b/>
      <w:bCs/>
      <w:sz w:val="28"/>
      <w:szCs w:val="28"/>
      <w:lang w:val="en-US" w:eastAsia="zh-CN" w:bidi="ar-SA"/>
      <w14:ligatures w14:val="none"/>
    </w:rPr>
  </w:style>
  <w:style w:type="paragraph" w:styleId="7">
    <w:name w:val="heading 6"/>
    <w:next w:val="1"/>
    <w:link w:val="33"/>
    <w:unhideWhenUsed/>
    <w:qFormat/>
    <w:uiPriority w:val="9"/>
    <w:pPr>
      <w:keepNext/>
      <w:keepLines/>
      <w:numPr>
        <w:ilvl w:val="5"/>
        <w:numId w:val="1"/>
      </w:numPr>
      <w:spacing w:line="360" w:lineRule="auto"/>
      <w:outlineLvl w:val="5"/>
    </w:pPr>
    <w:rPr>
      <w:rFonts w:ascii="黑体" w:hAnsi="黑体" w:eastAsia="黑体" w:cstheme="majorBidi"/>
      <w:b/>
      <w:bCs/>
      <w:sz w:val="28"/>
      <w:szCs w:val="28"/>
      <w:lang w:val="en-US" w:eastAsia="zh-CN" w:bidi="ar-SA"/>
      <w14:ligatures w14:val="none"/>
    </w:rPr>
  </w:style>
  <w:style w:type="paragraph" w:styleId="8">
    <w:name w:val="heading 7"/>
    <w:next w:val="1"/>
    <w:link w:val="34"/>
    <w:unhideWhenUsed/>
    <w:qFormat/>
    <w:uiPriority w:val="9"/>
    <w:pPr>
      <w:keepNext/>
      <w:keepLines/>
      <w:numPr>
        <w:ilvl w:val="6"/>
        <w:numId w:val="1"/>
      </w:numPr>
      <w:spacing w:line="360" w:lineRule="auto"/>
      <w:outlineLvl w:val="6"/>
    </w:pPr>
    <w:rPr>
      <w:rFonts w:ascii="黑体" w:hAnsi="黑体" w:eastAsia="黑体" w:cs="Times New Roman"/>
      <w:b/>
      <w:bCs/>
      <w:sz w:val="28"/>
      <w:szCs w:val="28"/>
      <w:lang w:val="en-US" w:eastAsia="zh-CN" w:bidi="ar-SA"/>
      <w14:ligatures w14:val="none"/>
    </w:rPr>
  </w:style>
  <w:style w:type="paragraph" w:styleId="9">
    <w:name w:val="heading 8"/>
    <w:next w:val="1"/>
    <w:link w:val="35"/>
    <w:unhideWhenUsed/>
    <w:qFormat/>
    <w:uiPriority w:val="9"/>
    <w:pPr>
      <w:keepNext/>
      <w:keepLines/>
      <w:numPr>
        <w:ilvl w:val="7"/>
        <w:numId w:val="1"/>
      </w:numPr>
      <w:spacing w:line="360" w:lineRule="auto"/>
      <w:outlineLvl w:val="7"/>
    </w:pPr>
    <w:rPr>
      <w:rFonts w:ascii="黑体" w:hAnsi="黑体" w:eastAsia="黑体" w:cstheme="majorBidi"/>
      <w:b/>
      <w:kern w:val="2"/>
      <w:sz w:val="28"/>
      <w:szCs w:val="28"/>
      <w:lang w:val="en-US" w:eastAsia="zh-CN" w:bidi="ar-SA"/>
      <w14:ligatures w14:val="none"/>
    </w:rPr>
  </w:style>
  <w:style w:type="paragraph" w:styleId="10">
    <w:name w:val="heading 9"/>
    <w:next w:val="1"/>
    <w:link w:val="36"/>
    <w:unhideWhenUsed/>
    <w:qFormat/>
    <w:uiPriority w:val="9"/>
    <w:pPr>
      <w:keepNext/>
      <w:keepLines/>
      <w:numPr>
        <w:ilvl w:val="8"/>
        <w:numId w:val="1"/>
      </w:numPr>
      <w:spacing w:before="240" w:after="64" w:line="320" w:lineRule="auto"/>
      <w:outlineLvl w:val="8"/>
    </w:pPr>
    <w:rPr>
      <w:rFonts w:eastAsia="黑体" w:asciiTheme="majorHAnsi" w:hAnsiTheme="majorHAnsi" w:cstheme="majorBidi"/>
      <w:kern w:val="2"/>
      <w:sz w:val="28"/>
      <w:szCs w:val="21"/>
      <w:lang w:val="en-US" w:eastAsia="zh-CN" w:bidi="ar-SA"/>
      <w14:ligatures w14:val="none"/>
    </w:rPr>
  </w:style>
  <w:style w:type="character" w:default="1" w:styleId="20">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Plain Text"/>
    <w:basedOn w:val="1"/>
    <w:next w:val="1"/>
    <w:link w:val="39"/>
    <w:qFormat/>
    <w:uiPriority w:val="99"/>
    <w:pPr>
      <w:spacing w:line="240" w:lineRule="auto"/>
      <w:jc w:val="both"/>
    </w:pPr>
    <w:rPr>
      <w:rFonts w:ascii="MingLiU" w:hAnsi="Cambria"/>
      <w:sz w:val="21"/>
      <w:szCs w:val="20"/>
    </w:rPr>
  </w:style>
  <w:style w:type="paragraph" w:styleId="13">
    <w:name w:val="Balloon Text"/>
    <w:basedOn w:val="1"/>
    <w:link w:val="24"/>
    <w:unhideWhenUsed/>
    <w:qFormat/>
    <w:uiPriority w:val="99"/>
    <w:rPr>
      <w:sz w:val="18"/>
      <w:szCs w:val="18"/>
    </w:rPr>
  </w:style>
  <w:style w:type="paragraph" w:styleId="14">
    <w:name w:val="footer"/>
    <w:basedOn w:val="1"/>
    <w:link w:val="26"/>
    <w:unhideWhenUsed/>
    <w:qFormat/>
    <w:uiPriority w:val="99"/>
    <w:pPr>
      <w:tabs>
        <w:tab w:val="center" w:pos="4153"/>
        <w:tab w:val="right" w:pos="8306"/>
      </w:tabs>
      <w:snapToGrid w:val="0"/>
    </w:pPr>
    <w:rPr>
      <w:sz w:val="18"/>
      <w:szCs w:val="18"/>
    </w:rPr>
  </w:style>
  <w:style w:type="paragraph" w:styleId="15">
    <w:name w:val="header"/>
    <w:basedOn w:val="1"/>
    <w:link w:val="25"/>
    <w:unhideWhenUsed/>
    <w:qFormat/>
    <w:uiPriority w:val="99"/>
    <w:pPr>
      <w:tabs>
        <w:tab w:val="center" w:pos="4153"/>
        <w:tab w:val="right" w:pos="8306"/>
      </w:tabs>
      <w:snapToGrid w:val="0"/>
      <w:jc w:val="center"/>
    </w:pPr>
    <w:rPr>
      <w:sz w:val="18"/>
      <w:szCs w:val="18"/>
    </w:rPr>
  </w:style>
  <w:style w:type="paragraph" w:styleId="16">
    <w:name w:val="Body Text 2"/>
    <w:basedOn w:val="1"/>
    <w:link w:val="37"/>
    <w:unhideWhenUsed/>
    <w:qFormat/>
    <w:uiPriority w:val="99"/>
    <w:pPr>
      <w:spacing w:after="120" w:line="480" w:lineRule="auto"/>
    </w:pPr>
  </w:style>
  <w:style w:type="paragraph" w:styleId="17">
    <w:name w:val="Normal (Web)"/>
    <w:basedOn w:val="1"/>
    <w:qFormat/>
    <w:uiPriority w:val="99"/>
    <w:pPr>
      <w:widowControl/>
      <w:spacing w:before="100" w:beforeAutospacing="1" w:after="100" w:afterAutospacing="1" w:line="240" w:lineRule="auto"/>
    </w:pPr>
    <w:rPr>
      <w:rFonts w:ascii="MingLiU" w:hAnsi="MingLiU"/>
      <w:kern w:val="0"/>
      <w:szCs w:val="20"/>
    </w:rPr>
  </w:style>
  <w:style w:type="paragraph" w:styleId="18">
    <w:name w:val="Title"/>
    <w:basedOn w:val="1"/>
    <w:next w:val="1"/>
    <w:link w:val="38"/>
    <w:qFormat/>
    <w:uiPriority w:val="0"/>
    <w:pPr>
      <w:jc w:val="center"/>
      <w:outlineLvl w:val="0"/>
    </w:pPr>
    <w:rPr>
      <w:rFonts w:ascii="宋体" w:hAnsi="宋体" w:cstheme="majorBidi"/>
      <w:i/>
      <w:iCs/>
      <w:sz w:val="22"/>
    </w:rPr>
  </w:style>
  <w:style w:type="character" w:styleId="21">
    <w:name w:val="Strong"/>
    <w:basedOn w:val="20"/>
    <w:qFormat/>
    <w:uiPriority w:val="22"/>
    <w:rPr>
      <w:b/>
    </w:rPr>
  </w:style>
  <w:style w:type="character" w:styleId="22">
    <w:name w:val="annotation reference"/>
    <w:basedOn w:val="20"/>
    <w:qFormat/>
    <w:uiPriority w:val="0"/>
    <w:rPr>
      <w:sz w:val="21"/>
      <w:szCs w:val="21"/>
    </w:rPr>
  </w:style>
  <w:style w:type="paragraph" w:customStyle="1" w:styleId="23">
    <w:name w:val="列出段落1"/>
    <w:basedOn w:val="1"/>
    <w:qFormat/>
    <w:uiPriority w:val="34"/>
    <w:pPr>
      <w:ind w:firstLine="420" w:firstLineChars="200"/>
    </w:pPr>
  </w:style>
  <w:style w:type="character" w:customStyle="1" w:styleId="24">
    <w:name w:val="批注框文本 字符"/>
    <w:basedOn w:val="20"/>
    <w:link w:val="13"/>
    <w:semiHidden/>
    <w:qFormat/>
    <w:uiPriority w:val="99"/>
    <w:rPr>
      <w:kern w:val="2"/>
      <w:sz w:val="18"/>
      <w:szCs w:val="18"/>
    </w:rPr>
  </w:style>
  <w:style w:type="character" w:customStyle="1" w:styleId="25">
    <w:name w:val="页眉 字符"/>
    <w:basedOn w:val="20"/>
    <w:link w:val="15"/>
    <w:qFormat/>
    <w:uiPriority w:val="99"/>
    <w:rPr>
      <w:kern w:val="2"/>
      <w:sz w:val="18"/>
      <w:szCs w:val="18"/>
      <w14:ligatures w14:val="none"/>
    </w:rPr>
  </w:style>
  <w:style w:type="character" w:customStyle="1" w:styleId="26">
    <w:name w:val="页脚 字符"/>
    <w:basedOn w:val="20"/>
    <w:link w:val="14"/>
    <w:qFormat/>
    <w:uiPriority w:val="99"/>
    <w:rPr>
      <w:kern w:val="2"/>
      <w:sz w:val="18"/>
      <w:szCs w:val="18"/>
      <w14:ligatures w14:val="none"/>
    </w:rPr>
  </w:style>
  <w:style w:type="paragraph" w:customStyle="1" w:styleId="27">
    <w:name w:val="Default"/>
    <w:qFormat/>
    <w:uiPriority w:val="0"/>
    <w:pPr>
      <w:widowControl w:val="0"/>
      <w:autoSpaceDE w:val="0"/>
      <w:autoSpaceDN w:val="0"/>
      <w:adjustRightInd w:val="0"/>
    </w:pPr>
    <w:rPr>
      <w:rFonts w:ascii="MingLiU" w:hAnsi="Times New Roman" w:eastAsia="MingLiU" w:cs="Times New Roman"/>
      <w:color w:val="000000"/>
      <w:sz w:val="24"/>
      <w:szCs w:val="24"/>
      <w:lang w:val="en-US" w:eastAsia="zh-CN" w:bidi="ar-SA"/>
      <w14:ligatures w14:val="none"/>
    </w:rPr>
  </w:style>
  <w:style w:type="character" w:customStyle="1" w:styleId="28">
    <w:name w:val="标题 1 字符"/>
    <w:basedOn w:val="20"/>
    <w:link w:val="2"/>
    <w:qFormat/>
    <w:uiPriority w:val="9"/>
    <w:rPr>
      <w:rFonts w:ascii="Calibri" w:hAnsi="Calibri" w:eastAsia="黑体"/>
      <w:b/>
      <w:bCs/>
      <w:kern w:val="44"/>
      <w:sz w:val="30"/>
      <w:szCs w:val="44"/>
      <w14:ligatures w14:val="none"/>
    </w:rPr>
  </w:style>
  <w:style w:type="character" w:customStyle="1" w:styleId="29">
    <w:name w:val="标题 2 字符"/>
    <w:basedOn w:val="20"/>
    <w:link w:val="3"/>
    <w:qFormat/>
    <w:uiPriority w:val="0"/>
    <w:rPr>
      <w:rFonts w:eastAsia="黑体" w:asciiTheme="majorHAnsi" w:hAnsiTheme="majorHAnsi" w:cstheme="majorBidi"/>
      <w:b/>
      <w:bCs/>
      <w:sz w:val="28"/>
      <w:szCs w:val="32"/>
      <w14:ligatures w14:val="none"/>
    </w:rPr>
  </w:style>
  <w:style w:type="character" w:customStyle="1" w:styleId="30">
    <w:name w:val="标题 3 字符"/>
    <w:basedOn w:val="20"/>
    <w:link w:val="4"/>
    <w:qFormat/>
    <w:uiPriority w:val="9"/>
    <w:rPr>
      <w:rFonts w:ascii="黑体" w:hAnsi="黑体" w:eastAsia="黑体"/>
      <w:b/>
      <w:bCs/>
      <w:sz w:val="28"/>
      <w:szCs w:val="32"/>
      <w14:ligatures w14:val="none"/>
    </w:rPr>
  </w:style>
  <w:style w:type="character" w:customStyle="1" w:styleId="31">
    <w:name w:val="标题 4 字符"/>
    <w:basedOn w:val="20"/>
    <w:link w:val="5"/>
    <w:qFormat/>
    <w:uiPriority w:val="9"/>
    <w:rPr>
      <w:rFonts w:ascii="黑体" w:hAnsi="黑体" w:eastAsia="黑体" w:cstheme="majorBidi"/>
      <w:b/>
      <w:bCs/>
      <w:sz w:val="28"/>
      <w:szCs w:val="28"/>
      <w14:ligatures w14:val="none"/>
    </w:rPr>
  </w:style>
  <w:style w:type="character" w:customStyle="1" w:styleId="32">
    <w:name w:val="标题 5 字符"/>
    <w:basedOn w:val="20"/>
    <w:link w:val="6"/>
    <w:qFormat/>
    <w:uiPriority w:val="9"/>
    <w:rPr>
      <w:rFonts w:ascii="黑体" w:hAnsi="黑体" w:eastAsia="黑体"/>
      <w:b/>
      <w:bCs/>
      <w:sz w:val="28"/>
      <w:szCs w:val="28"/>
      <w14:ligatures w14:val="none"/>
    </w:rPr>
  </w:style>
  <w:style w:type="character" w:customStyle="1" w:styleId="33">
    <w:name w:val="标题 6 字符"/>
    <w:basedOn w:val="20"/>
    <w:link w:val="7"/>
    <w:qFormat/>
    <w:uiPriority w:val="9"/>
    <w:rPr>
      <w:rFonts w:ascii="黑体" w:hAnsi="黑体" w:eastAsia="黑体" w:cstheme="majorBidi"/>
      <w:b/>
      <w:bCs/>
      <w:sz w:val="28"/>
      <w:szCs w:val="28"/>
      <w14:ligatures w14:val="none"/>
    </w:rPr>
  </w:style>
  <w:style w:type="character" w:customStyle="1" w:styleId="34">
    <w:name w:val="标题 7 字符"/>
    <w:basedOn w:val="20"/>
    <w:link w:val="8"/>
    <w:qFormat/>
    <w:uiPriority w:val="9"/>
    <w:rPr>
      <w:rFonts w:ascii="黑体" w:hAnsi="黑体" w:eastAsia="黑体"/>
      <w:b/>
      <w:bCs/>
      <w:sz w:val="28"/>
      <w:szCs w:val="28"/>
      <w14:ligatures w14:val="none"/>
    </w:rPr>
  </w:style>
  <w:style w:type="character" w:customStyle="1" w:styleId="35">
    <w:name w:val="标题 8 字符"/>
    <w:basedOn w:val="20"/>
    <w:link w:val="9"/>
    <w:qFormat/>
    <w:uiPriority w:val="9"/>
    <w:rPr>
      <w:rFonts w:ascii="黑体" w:hAnsi="黑体" w:eastAsia="黑体" w:cstheme="majorBidi"/>
      <w:b/>
      <w:kern w:val="2"/>
      <w:sz w:val="28"/>
      <w:szCs w:val="28"/>
      <w14:ligatures w14:val="none"/>
    </w:rPr>
  </w:style>
  <w:style w:type="character" w:customStyle="1" w:styleId="36">
    <w:name w:val="标题 9 字符"/>
    <w:basedOn w:val="20"/>
    <w:link w:val="10"/>
    <w:qFormat/>
    <w:uiPriority w:val="9"/>
    <w:rPr>
      <w:rFonts w:eastAsia="黑体" w:asciiTheme="majorHAnsi" w:hAnsiTheme="majorHAnsi" w:cstheme="majorBidi"/>
      <w:kern w:val="2"/>
      <w:sz w:val="28"/>
      <w:szCs w:val="21"/>
      <w14:ligatures w14:val="none"/>
    </w:rPr>
  </w:style>
  <w:style w:type="character" w:customStyle="1" w:styleId="37">
    <w:name w:val="正文文本 2 字符"/>
    <w:basedOn w:val="20"/>
    <w:link w:val="16"/>
    <w:qFormat/>
    <w:uiPriority w:val="99"/>
    <w:rPr>
      <w:kern w:val="2"/>
      <w:sz w:val="24"/>
      <w:szCs w:val="24"/>
      <w14:ligatures w14:val="none"/>
    </w:rPr>
  </w:style>
  <w:style w:type="character" w:customStyle="1" w:styleId="38">
    <w:name w:val="标题 字符"/>
    <w:basedOn w:val="20"/>
    <w:link w:val="18"/>
    <w:qFormat/>
    <w:uiPriority w:val="0"/>
    <w:rPr>
      <w:rFonts w:ascii="宋体" w:hAnsi="宋体" w:cstheme="majorBidi"/>
      <w:i/>
      <w:iCs/>
      <w:kern w:val="2"/>
      <w:sz w:val="22"/>
      <w:szCs w:val="24"/>
      <w14:ligatures w14:val="none"/>
    </w:rPr>
  </w:style>
  <w:style w:type="character" w:customStyle="1" w:styleId="39">
    <w:name w:val="纯文本 字符"/>
    <w:basedOn w:val="20"/>
    <w:link w:val="12"/>
    <w:qFormat/>
    <w:uiPriority w:val="99"/>
    <w:rPr>
      <w:rFonts w:ascii="MingLiU" w:hAnsi="Cambria"/>
      <w:kern w:val="2"/>
      <w:sz w:val="21"/>
      <w14:ligatures w14:val="none"/>
    </w:rPr>
  </w:style>
  <w:style w:type="character" w:customStyle="1" w:styleId="40">
    <w:name w:val="纯文本 字符2"/>
    <w:qFormat/>
    <w:uiPriority w:val="0"/>
    <w:rPr>
      <w:rFonts w:ascii="宋体" w:hAnsi="Courier New" w:eastAsia="宋体" w:cs="Times New Roman"/>
      <w:kern w:val="0"/>
      <w:szCs w:val="20"/>
    </w:rPr>
  </w:style>
  <w:style w:type="paragraph" w:customStyle="1" w:styleId="41">
    <w:name w:val="List Paragraph"/>
    <w:basedOn w:val="1"/>
    <w:qFormat/>
    <w:uiPriority w:val="34"/>
    <w:pPr>
      <w:ind w:firstLine="420" w:firstLineChars="200"/>
    </w:pPr>
  </w:style>
  <w:style w:type="paragraph" w:customStyle="1" w:styleId="42">
    <w:name w:val="排序"/>
    <w:link w:val="43"/>
    <w:qFormat/>
    <w:uiPriority w:val="3"/>
    <w:pPr>
      <w:numPr>
        <w:ilvl w:val="0"/>
        <w:numId w:val="2"/>
      </w:numPr>
      <w:spacing w:line="360" w:lineRule="auto"/>
      <w:ind w:firstLine="200" w:firstLineChars="200"/>
    </w:pPr>
    <w:rPr>
      <w:rFonts w:ascii="宋体" w:hAnsi="宋体" w:eastAsia="宋体" w:cstheme="minorBidi"/>
      <w:kern w:val="2"/>
      <w:sz w:val="24"/>
      <w:szCs w:val="24"/>
      <w:lang w:val="en-US" w:eastAsia="zh-CN" w:bidi="ar-SA"/>
    </w:rPr>
  </w:style>
  <w:style w:type="character" w:customStyle="1" w:styleId="43">
    <w:name w:val="排序 字符"/>
    <w:basedOn w:val="20"/>
    <w:link w:val="42"/>
    <w:qFormat/>
    <w:uiPriority w:val="3"/>
    <w:rPr>
      <w:rFonts w:ascii="宋体" w:hAnsi="宋体" w:cstheme="minorBidi"/>
      <w:kern w:val="2"/>
      <w:sz w:val="24"/>
      <w:szCs w:val="24"/>
    </w:rPr>
  </w:style>
  <w:style w:type="character" w:customStyle="1" w:styleId="44">
    <w:name w:val="font21"/>
    <w:basedOn w:val="20"/>
    <w:qFormat/>
    <w:uiPriority w:val="0"/>
    <w:rPr>
      <w:rFonts w:hint="eastAsia" w:ascii="宋体" w:hAnsi="宋体" w:eastAsia="宋体" w:cs="宋体"/>
      <w:color w:val="000000"/>
      <w:sz w:val="22"/>
      <w:szCs w:val="22"/>
      <w:u w:val="none"/>
    </w:rPr>
  </w:style>
  <w:style w:type="character" w:customStyle="1" w:styleId="45">
    <w:name w:val="font31"/>
    <w:basedOn w:val="20"/>
    <w:qFormat/>
    <w:uiPriority w:val="0"/>
    <w:rPr>
      <w:rFonts w:hint="eastAsia" w:ascii="宋体" w:hAnsi="宋体" w:eastAsia="宋体" w:cs="宋体"/>
      <w:color w:val="000000"/>
      <w:sz w:val="22"/>
      <w:szCs w:val="22"/>
      <w:u w:val="none"/>
    </w:rPr>
  </w:style>
  <w:style w:type="character" w:customStyle="1" w:styleId="46">
    <w:name w:val="font41"/>
    <w:basedOn w:val="20"/>
    <w:qFormat/>
    <w:uiPriority w:val="0"/>
    <w:rPr>
      <w:rFonts w:hint="eastAsia" w:ascii="宋体" w:hAnsi="宋体" w:eastAsia="宋体" w:cs="宋体"/>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22</Pages>
  <Words>9237</Words>
  <Characters>9612</Characters>
  <Lines>73</Lines>
  <Paragraphs>20</Paragraphs>
  <TotalTime>1</TotalTime>
  <ScaleCrop>false</ScaleCrop>
  <LinksUpToDate>false</LinksUpToDate>
  <CharactersWithSpaces>9633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2023-08-24T02:11:00Z</dcterms:created>
  <dc:creator>Administrator</dc:creator>
  <cp:lastModifiedBy>陈柯岚</cp:lastModifiedBy>
  <cp:lastPrinted>2024-01-26T08:35:00Z</cp:lastPrinted>
  <dcterms:modified xsi:type="dcterms:W3CDTF">2026-08-10T06:31:44Z</dcterms:modified>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1D8FFB5182B540ADB66242C6CF928E22_13</vt:lpwstr>
  </property>
  <property fmtid="{D5CDD505-2E9C-101B-9397-08002B2CF9AE}" pid="4" name="KSOTemplateDocerSaveRecord">
    <vt:lpwstr>eyJoZGlkIjoiNzFlMjMwZGJkMDk0NjRmNTA4MmJkNjU5M2Y3ZjRhZmEiLCJ1c2VySWQiOiIxMDEwNTk2NjIzIn0=</vt:lpwstr>
  </property>
</Properties>
</file>