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FB8EC">
      <w:pPr>
        <w:widowControl w:val="0"/>
        <w:spacing w:after="0" w:line="240" w:lineRule="auto"/>
        <w:jc w:val="center"/>
        <w:rPr>
          <w:rFonts w:hint="default" w:ascii="方正小标宋_GBK" w:hAnsi="方正小标宋_GBK" w:eastAsia="方正小标宋_GBK" w:cs="方正小标宋_GBK"/>
          <w:color w:val="auto"/>
          <w:kern w:val="2"/>
          <w:sz w:val="36"/>
          <w:szCs w:val="32"/>
          <w:lang w:val="en-US" w:eastAsia="zh-CN" w:bidi="ar"/>
        </w:rPr>
      </w:pPr>
      <w:r>
        <w:rPr>
          <w:rFonts w:hint="eastAsia" w:ascii="方正小标宋_GBK" w:hAnsi="方正小标宋_GBK" w:eastAsia="方正小标宋_GBK" w:cs="方正小标宋_GBK"/>
          <w:color w:val="auto"/>
          <w:kern w:val="2"/>
          <w:sz w:val="36"/>
          <w:szCs w:val="32"/>
          <w:lang w:eastAsia="zh-CN" w:bidi="ar"/>
        </w:rPr>
        <w:t>病理数字切片与亚专科资源平台项目建设</w:t>
      </w:r>
      <w:r>
        <w:rPr>
          <w:rFonts w:hint="eastAsia" w:ascii="方正小标宋_GBK" w:hAnsi="方正小标宋_GBK" w:eastAsia="方正小标宋_GBK" w:cs="方正小标宋_GBK"/>
          <w:color w:val="auto"/>
          <w:kern w:val="2"/>
          <w:sz w:val="36"/>
          <w:szCs w:val="32"/>
          <w:lang w:val="en-US" w:eastAsia="zh-CN" w:bidi="ar"/>
        </w:rPr>
        <w:t>需求</w:t>
      </w:r>
    </w:p>
    <w:p w14:paraId="3A594EF3"/>
    <w:p w14:paraId="6C87BA58">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1.基础平台</w:t>
      </w:r>
    </w:p>
    <w:p w14:paraId="35818833">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1.1 采购内容：病理数字切片与亚专科资源平台。</w:t>
      </w:r>
    </w:p>
    <w:p w14:paraId="486C83A7">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1.2 供应商提供基础平台功能、病理资源库与亚专科资源管理模块、应用模块、三屏录像功能模块、在线考核功能模块、病例与切片资源管理模块、系统管理与数据统计模块。</w:t>
      </w:r>
    </w:p>
    <w:p w14:paraId="7EAC1C7C">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2.基础功能要求</w:t>
      </w:r>
    </w:p>
    <w:p w14:paraId="7E293D9B">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rPr>
      </w:pPr>
      <w:r>
        <w:rPr>
          <w:rFonts w:hint="eastAsia" w:ascii="仿宋" w:hAnsi="仿宋" w:eastAsia="仿宋" w:cs="仿宋"/>
          <w:b w:val="0"/>
          <w:sz w:val="28"/>
          <w:szCs w:val="28"/>
        </w:rPr>
        <w:t>系统内置管理员、教师、学生三类基础角色，支持角色增加、删除、修改及自定义配置；适用于医师、研究生、进修生、实习生等多种用户类型；实现菜单级、操作级、数据级三级权限精细化管控。</w:t>
      </w:r>
    </w:p>
    <w:p w14:paraId="7C26FB94">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3.病理资源库与亚专科资源管理模块</w:t>
      </w:r>
    </w:p>
    <w:p w14:paraId="37165A51">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3.1. 亚专科资源体系（头颈部病理学、胸部病理学、乳腺病理学、泌尿及男性生殖病理学、女性生殖病理学、儿童病理学、神经病理学、软组织骨病理学、消化病理学、细胞病理学、内分泌病理学、皮肤病理学、淋巴造血病理学、分子病理学）：以病理亚专科为核心维度，构建分类清晰、检索便捷且可持续扩充的资源组织架构。  </w:t>
      </w:r>
    </w:p>
    <w:p w14:paraId="1EC5BB3F">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3.2. 资源汇聚：整合国内优质病理教学资源，形成统一的教学素材库，支持课件、视频、文献、指南等资源的标准化管理。  </w:t>
      </w:r>
    </w:p>
    <w:p w14:paraId="14C0EEEE">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3.3. 数字切片资源库：支持SVS、TIF、KFB等主流数字切片格式的存储、解析、在线浏览与高清缩放。提供切片长期安全存储，以解决传统玻片易损、难保存及不可复用的问题。支持切片批量入库、标注、质量控制、归档及版本管理，形成规范化的切片数据库。  </w:t>
      </w:r>
    </w:p>
    <w:p w14:paraId="380F91FB">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 xml:space="preserve">3.4. 病例资源库：实现病例的结构化录入、标准化建档、快速检索与调取，可直接应用于教学阅片及病例研讨。  </w:t>
      </w:r>
    </w:p>
    <w:p w14:paraId="002CC62F">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3.5. 资源在线学习：以数字切片阅片为核心学习模式，支持切片的反复查看、细节观察与对比标注，以强化亚专科诊断能力。 </w:t>
      </w:r>
    </w:p>
    <w:p w14:paraId="61D68B55">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3.6.提供病例资源库每年1-2次的切片资源更新，同时培养科室收集的典型和疑难病例同步更新至病例库，取代传统切片存储时间过短后期无法再次利用多用途的弊端。</w:t>
      </w:r>
    </w:p>
    <w:p w14:paraId="400ED4B1">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4.应用模块</w:t>
      </w:r>
    </w:p>
    <w:p w14:paraId="759EAC6C">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4.1. 病例研讨：支持按亚专科检索，具备课件、数字切片、影像资料的上传功能，并实现结构化病例管理。  </w:t>
      </w:r>
    </w:p>
    <w:p w14:paraId="329071C5">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4.2. 数字阅片（核心模块）：涵盖素材管理、课程发布、切片学习、小结汇总与评价反馈，以亚专科切片学习为主线。  </w:t>
      </w:r>
    </w:p>
    <w:p w14:paraId="50EF7A99">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4.3. 教学授课：支持课件发布、视频嵌入式问答及教学反馈，并与资源库联动使用。  </w:t>
      </w:r>
    </w:p>
    <w:p w14:paraId="0C2D3FF4">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4.4. 学习汇报：支持学习材料上传与记录归档，确保学习过程可追溯。  </w:t>
      </w:r>
    </w:p>
    <w:p w14:paraId="544EC00C">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 xml:space="preserve">4.5. 视频嵌入式问答：允许在视频任意时间点插入题目，学员答题后可继续播放视频。  </w:t>
      </w:r>
    </w:p>
    <w:p w14:paraId="09E6F2A9">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4.6. 教学质量评价：内置标准化评分模板，实现多维度评价，并自动生成分析报告。</w:t>
      </w:r>
    </w:p>
    <w:p w14:paraId="76399FC4">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5.三屏录像功能模块</w:t>
      </w:r>
    </w:p>
    <w:p w14:paraId="651567A0">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5.1. 同步录制教师画面、学生画面及课件三路信号，确保无卡顿、无丢帧现象。</w:t>
      </w:r>
    </w:p>
    <w:p w14:paraId="2684D85A">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5.2. 支持一键启动录制与停止操作，录制完成后自动完成合并处理，并上传归档至资源库。</w:t>
      </w:r>
    </w:p>
    <w:p w14:paraId="2BC10B77">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5.3. 全面覆盖教学阅片、病例研讨及教学授课等核心应用场景。</w:t>
      </w:r>
    </w:p>
    <w:p w14:paraId="5D42149E">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6.在线考核功能模块</w:t>
      </w:r>
    </w:p>
    <w:p w14:paraId="79F82CF0">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6.1. 提供一键组卷与自动阅卷功能，客观题实现自动评分，主观题支持人工评阅。</w:t>
      </w:r>
    </w:p>
    <w:p w14:paraId="16F966FE">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6.2. 系统预置不少于500道的病理专业题库，题型涵盖单选题、多选题、公共知识题及案例分析题，并支持科室自主创建题库。</w:t>
      </w:r>
    </w:p>
    <w:p w14:paraId="5FD3A214">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6.3. 支持将试卷导出为WORD或PDF格式，并可直接调用病例库资源进行组卷。</w:t>
      </w:r>
    </w:p>
    <w:p w14:paraId="43E404BA">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6.4. 维保期内提供每年1-2次的试题库更新试题资源，以支撑规培生的节点考核题库资源。</w:t>
      </w:r>
    </w:p>
    <w:p w14:paraId="685E1A4B">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7.病例与切片资源管理模块</w:t>
      </w:r>
    </w:p>
    <w:p w14:paraId="40DE2BA7">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7.1. 提供从新增、编辑、分类到检索、调取、归档及统计的全生命周期管理功能。</w:t>
      </w:r>
    </w:p>
    <w:p w14:paraId="37CC026C">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7.2. 支持主流数字切片与影像的在线高清浏览，具备缩放、漫游及标注功能。</w:t>
      </w:r>
    </w:p>
    <w:p w14:paraId="66899F1D">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7.3. 实现全院共享服务：依据权限向各科室开放病例资源库内存储的数字切片与病例调取，为临床诊疗与科研提供支持。</w:t>
      </w:r>
    </w:p>
    <w:p w14:paraId="4CB82EEA">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7.4. 构建科研支撑平台：以高质量数字切片库与病例库作为科研数据底座，提供稳定、规范且可追溯的数据来源。</w:t>
      </w:r>
    </w:p>
    <w:p w14:paraId="45700B57">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8.系统管理与数据统计模块</w:t>
      </w:r>
    </w:p>
    <w:p w14:paraId="7269DB03">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8.1. 提供基础数据字典维护、用户管理及权限配置功能。</w:t>
      </w:r>
    </w:p>
    <w:p w14:paraId="4BD9D9B5">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8.2. 支持按年度对课程、资源、病例及切片等数据进行统计，并可将统计结果导出。</w:t>
      </w:r>
    </w:p>
    <w:p w14:paraId="7CA251CA">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‏8.3. 信息中心统一管理要求：项目实施、上线、变更、运维及安全接入须接受医院信息中心统一管理，纳入医院信息系统台账、资产管理、账号管理、安全管理和运维管理体系。供应商应配合信息中心完成系统登记、部署备案、账号权限配置、运维交接及后续变更管理。</w:t>
      </w:r>
    </w:p>
    <w:p w14:paraId="289CF39F">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‏8.4. 接口与扩展要求：系统应预留与医院HIS、LIS、PACS、集成平台等相关系统的数据接口能力。供应商须提供标准接口文档、数据字典、接口调用说明。</w:t>
      </w:r>
    </w:p>
    <w:p w14:paraId="159F814D">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9.系统性能要求</w:t>
      </w:r>
    </w:p>
    <w:p w14:paraId="36005323">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9.1. 系统需支持不少于100用户同时在线并发访问。</w:t>
      </w:r>
    </w:p>
    <w:p w14:paraId="02A7EFDC">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9.2. 页面响应时间不超过3秒，复杂查询响应时间不超过8秒。</w:t>
      </w:r>
    </w:p>
    <w:p w14:paraId="2FCF5E63">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9.3. 视频存储支持单文件不小于4GB，并具备断点续传功能。</w:t>
      </w:r>
    </w:p>
    <w:p w14:paraId="26C5AD37">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10.本地运行环境资源要求</w:t>
      </w:r>
    </w:p>
    <w:p w14:paraId="6EFD004E">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10.1. 系统采用B/S架构</w:t>
      </w:r>
    </w:p>
    <w:p w14:paraId="698A8880">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10.2. 系统支持本地化部署</w:t>
      </w:r>
    </w:p>
    <w:p w14:paraId="367D3692">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
        </w:rPr>
      </w:pPr>
      <w:r>
        <w:rPr>
          <w:rFonts w:hint="eastAsia" w:ascii="仿宋" w:hAnsi="仿宋" w:eastAsia="仿宋" w:cs="仿宋"/>
          <w:b w:val="0"/>
          <w:sz w:val="28"/>
          <w:szCs w:val="28"/>
          <w:lang w:val="en-US" w:eastAsia="zh"/>
        </w:rPr>
        <w:t>10.3.</w:t>
      </w:r>
      <w:r>
        <w:rPr>
          <w:rFonts w:hint="eastAsia" w:ascii="仿宋" w:hAnsi="仿宋" w:eastAsia="仿宋" w:cs="仿宋"/>
          <w:b w:val="0"/>
          <w:sz w:val="28"/>
          <w:szCs w:val="28"/>
          <w:lang w:val="en-US" w:eastAsia="zh-CN"/>
        </w:rPr>
        <w:t xml:space="preserve"> </w:t>
      </w:r>
      <w:r>
        <w:rPr>
          <w:rFonts w:hint="eastAsia" w:ascii="仿宋" w:hAnsi="仿宋" w:eastAsia="仿宋" w:cs="仿宋"/>
          <w:b w:val="0"/>
          <w:sz w:val="28"/>
          <w:szCs w:val="28"/>
          <w:lang w:val="en-US" w:eastAsia="zh"/>
        </w:rPr>
        <w:t>本地运行环境建议资源配置：不低于</w:t>
      </w:r>
      <w:r>
        <w:rPr>
          <w:rFonts w:hint="eastAsia" w:ascii="仿宋" w:hAnsi="仿宋" w:eastAsia="仿宋" w:cs="仿宋"/>
          <w:b w:val="0"/>
          <w:sz w:val="28"/>
          <w:szCs w:val="28"/>
          <w:lang w:val="en-US" w:eastAsia="zh-CN"/>
        </w:rPr>
        <w:t>8</w:t>
      </w:r>
      <w:r>
        <w:rPr>
          <w:rFonts w:hint="eastAsia" w:ascii="仿宋" w:hAnsi="仿宋" w:eastAsia="仿宋" w:cs="仿宋"/>
          <w:b w:val="0"/>
          <w:sz w:val="28"/>
          <w:szCs w:val="28"/>
          <w:lang w:val="en-US" w:eastAsia="zh"/>
        </w:rPr>
        <w:t>核CPU、2.0GHz主频，内存不低于</w:t>
      </w:r>
      <w:r>
        <w:rPr>
          <w:rFonts w:hint="eastAsia" w:ascii="仿宋" w:hAnsi="仿宋" w:eastAsia="仿宋" w:cs="仿宋"/>
          <w:b w:val="0"/>
          <w:sz w:val="28"/>
          <w:szCs w:val="28"/>
          <w:lang w:val="en-US" w:eastAsia="zh"/>
          <w:woUserID w:val="1"/>
        </w:rPr>
        <w:t>16</w:t>
      </w:r>
      <w:r>
        <w:rPr>
          <w:rFonts w:hint="eastAsia" w:ascii="仿宋" w:hAnsi="仿宋" w:eastAsia="仿宋" w:cs="仿宋"/>
          <w:b w:val="0"/>
          <w:sz w:val="28"/>
          <w:szCs w:val="28"/>
          <w:lang w:val="en-US" w:eastAsia="zh"/>
        </w:rPr>
        <w:t>GB，存储容量不低于1</w:t>
      </w:r>
      <w:r>
        <w:rPr>
          <w:rFonts w:hint="eastAsia" w:ascii="仿宋" w:hAnsi="仿宋" w:eastAsia="仿宋" w:cs="仿宋"/>
          <w:b w:val="0"/>
          <w:sz w:val="28"/>
          <w:szCs w:val="28"/>
          <w:lang w:val="en-US" w:eastAsia="zh"/>
          <w:woUserID w:val="1"/>
        </w:rPr>
        <w:t>0</w:t>
      </w:r>
      <w:r>
        <w:rPr>
          <w:rFonts w:hint="eastAsia" w:ascii="仿宋" w:hAnsi="仿宋" w:eastAsia="仿宋" w:cs="仿宋"/>
          <w:b w:val="0"/>
          <w:sz w:val="28"/>
          <w:szCs w:val="28"/>
          <w:lang w:val="en-US" w:eastAsia="zh"/>
        </w:rPr>
        <w:t>TB</w:t>
      </w:r>
    </w:p>
    <w:p w14:paraId="332E4F9D">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11.验收标准与维保售后要求</w:t>
      </w:r>
    </w:p>
    <w:p w14:paraId="0D7D45B4">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11.1</w:t>
      </w:r>
      <w:r>
        <w:rPr>
          <w:rFonts w:hint="default" w:ascii="仿宋" w:hAnsi="仿宋" w:eastAsia="仿宋" w:cs="仿宋"/>
          <w:b w:val="0"/>
          <w:sz w:val="28"/>
          <w:szCs w:val="28"/>
          <w:lang w:val="en-US" w:eastAsia="zh-CN"/>
        </w:rPr>
        <w:t>培训对象：使用方操作、管理人员</w:t>
      </w:r>
    </w:p>
    <w:p w14:paraId="319A283D">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11.2</w:t>
      </w:r>
      <w:r>
        <w:rPr>
          <w:rFonts w:hint="default" w:ascii="仿宋" w:hAnsi="仿宋" w:eastAsia="仿宋" w:cs="仿宋"/>
          <w:b w:val="0"/>
          <w:sz w:val="28"/>
          <w:szCs w:val="28"/>
          <w:lang w:val="en-US" w:eastAsia="zh-CN"/>
        </w:rPr>
        <w:t>培训内容：系统整体架构、各模块功能介绍</w:t>
      </w:r>
      <w:r>
        <w:rPr>
          <w:rFonts w:hint="eastAsia" w:ascii="仿宋" w:hAnsi="仿宋" w:eastAsia="仿宋" w:cs="仿宋"/>
          <w:b w:val="0"/>
          <w:sz w:val="28"/>
          <w:szCs w:val="28"/>
          <w:lang w:val="en-US" w:eastAsia="zh-CN"/>
        </w:rPr>
        <w:t>、日</w:t>
      </w:r>
      <w:r>
        <w:rPr>
          <w:rFonts w:hint="default" w:ascii="仿宋" w:hAnsi="仿宋" w:eastAsia="仿宋" w:cs="仿宋"/>
          <w:b w:val="0"/>
          <w:sz w:val="28"/>
          <w:szCs w:val="28"/>
          <w:lang w:val="en-US" w:eastAsia="zh-CN"/>
        </w:rPr>
        <w:t>常操作流程</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基础故障判断与处理</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权限管理、场景配置、备份与恢复操作</w:t>
      </w:r>
    </w:p>
    <w:p w14:paraId="4AC9416A">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11.3</w:t>
      </w:r>
      <w:r>
        <w:rPr>
          <w:rFonts w:hint="default" w:ascii="仿宋" w:hAnsi="仿宋" w:eastAsia="仿宋" w:cs="仿宋"/>
          <w:b w:val="0"/>
          <w:sz w:val="28"/>
          <w:szCs w:val="28"/>
          <w:lang w:val="en-US" w:eastAsia="zh-CN"/>
        </w:rPr>
        <w:t>培训形式：现场集中培训 ＋ 线上资料 ／ 视频培训</w:t>
      </w:r>
    </w:p>
    <w:p w14:paraId="3A601E96">
      <w:pPr>
        <w:pageBreakBefore w:val="0"/>
        <w:widowControl/>
        <w:kinsoku/>
        <w:wordWrap/>
        <w:overflowPunct/>
        <w:topLinePunct w:val="0"/>
        <w:autoSpaceDE/>
        <w:autoSpaceDN/>
        <w:bidi w:val="0"/>
        <w:adjustRightInd/>
        <w:snapToGrid/>
        <w:spacing w:after="0" w:line="560" w:lineRule="exact"/>
        <w:textAlignment w:val="auto"/>
        <w:rPr>
          <w:rFonts w:hint="default" w:ascii="华文楷体" w:hAnsi="华文楷体" w:eastAsia="华文楷体" w:cs="华文楷体"/>
          <w:sz w:val="28"/>
          <w:szCs w:val="28"/>
          <w:lang w:val="en-US" w:eastAsia="zh-CN"/>
        </w:rPr>
      </w:pPr>
      <w:r>
        <w:rPr>
          <w:rFonts w:hint="eastAsia" w:ascii="仿宋" w:hAnsi="仿宋" w:eastAsia="仿宋" w:cs="仿宋"/>
          <w:b w:val="0"/>
          <w:sz w:val="28"/>
          <w:szCs w:val="28"/>
          <w:lang w:val="en-US" w:eastAsia="zh-CN"/>
        </w:rPr>
        <w:t>11.4</w:t>
      </w:r>
      <w:r>
        <w:rPr>
          <w:rFonts w:hint="default" w:ascii="仿宋" w:hAnsi="仿宋" w:eastAsia="仿宋" w:cs="仿宋"/>
          <w:b w:val="0"/>
          <w:sz w:val="28"/>
          <w:szCs w:val="28"/>
          <w:lang w:val="en-US" w:eastAsia="zh-CN"/>
        </w:rPr>
        <w:t>培训资料：提供纸质</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电子版《用户操作手册》《运维维护手册》各不少于 2 套。</w:t>
      </w:r>
    </w:p>
    <w:p w14:paraId="09C05EB8">
      <w:pPr>
        <w:pStyle w:val="3"/>
        <w:pageBreakBefore w:val="0"/>
        <w:widowControl/>
        <w:kinsoku/>
        <w:wordWrap/>
        <w:overflowPunct/>
        <w:topLinePunct w:val="0"/>
        <w:autoSpaceDE/>
        <w:autoSpaceDN/>
        <w:bidi w:val="0"/>
        <w:adjustRightInd/>
        <w:snapToGrid/>
        <w:spacing w:before="0" w:after="0" w:line="5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r>
        <w:rPr>
          <w:rFonts w:hint="default" w:ascii="仿宋" w:hAnsi="仿宋" w:eastAsia="仿宋" w:cs="仿宋"/>
          <w:color w:val="auto"/>
          <w:sz w:val="28"/>
          <w:szCs w:val="28"/>
          <w:lang w:val="en-US" w:eastAsia="zh-CN"/>
        </w:rPr>
        <w:t>维保与售后服务</w:t>
      </w:r>
    </w:p>
    <w:p w14:paraId="3CE76127">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12.1</w:t>
      </w:r>
      <w:r>
        <w:rPr>
          <w:rFonts w:hint="default" w:ascii="仿宋" w:hAnsi="仿宋" w:eastAsia="仿宋" w:cs="仿宋"/>
          <w:b w:val="0"/>
          <w:sz w:val="28"/>
          <w:szCs w:val="28"/>
          <w:lang w:val="en-US" w:eastAsia="zh-CN"/>
        </w:rPr>
        <w:t>质保期：自最终验收合格之日起，提供</w:t>
      </w:r>
      <w:r>
        <w:rPr>
          <w:rFonts w:hint="eastAsia" w:ascii="仿宋" w:hAnsi="仿宋" w:eastAsia="仿宋" w:cs="仿宋"/>
          <w:b w:val="0"/>
          <w:sz w:val="28"/>
          <w:szCs w:val="28"/>
          <w:lang w:val="en-US" w:eastAsia="zh-CN"/>
        </w:rPr>
        <w:t>3年</w:t>
      </w:r>
      <w:r>
        <w:rPr>
          <w:rFonts w:hint="default" w:ascii="仿宋" w:hAnsi="仿宋" w:eastAsia="仿宋" w:cs="仿宋"/>
          <w:b w:val="0"/>
          <w:sz w:val="28"/>
          <w:szCs w:val="28"/>
          <w:lang w:val="en-US" w:eastAsia="zh-CN"/>
        </w:rPr>
        <w:t>免费质保服务</w:t>
      </w:r>
    </w:p>
    <w:p w14:paraId="695CA623">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
        </w:rPr>
      </w:pPr>
      <w:r>
        <w:rPr>
          <w:rFonts w:hint="eastAsia" w:ascii="仿宋" w:hAnsi="仿宋" w:eastAsia="仿宋" w:cs="仿宋"/>
          <w:b w:val="0"/>
          <w:sz w:val="28"/>
          <w:szCs w:val="28"/>
          <w:lang w:val="en-US" w:eastAsia="zh-CN"/>
        </w:rPr>
        <w:t>12.2</w:t>
      </w:r>
      <w:r>
        <w:rPr>
          <w:rFonts w:hint="default" w:ascii="仿宋" w:hAnsi="仿宋" w:eastAsia="仿宋" w:cs="仿宋"/>
          <w:b w:val="0"/>
          <w:sz w:val="28"/>
          <w:szCs w:val="28"/>
          <w:lang w:val="en-US" w:eastAsia="zh-CN"/>
        </w:rPr>
        <w:t>服务方式：7×24 小时电话</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远程技术支持</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重大故障 4 小时响应、24 小时内到场排查</w:t>
      </w:r>
      <w:r>
        <w:rPr>
          <w:rFonts w:hint="eastAsia" w:ascii="仿宋" w:hAnsi="仿宋" w:eastAsia="仿宋" w:cs="仿宋"/>
          <w:b w:val="0"/>
          <w:sz w:val="28"/>
          <w:szCs w:val="28"/>
          <w:lang w:val="en-US" w:eastAsia="zh"/>
        </w:rPr>
        <w:t>。</w:t>
      </w:r>
    </w:p>
    <w:p w14:paraId="5E52CB76">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12.3</w:t>
      </w:r>
      <w:r>
        <w:rPr>
          <w:rFonts w:hint="default" w:ascii="仿宋" w:hAnsi="仿宋" w:eastAsia="仿宋" w:cs="仿宋"/>
          <w:b w:val="0"/>
          <w:sz w:val="28"/>
          <w:szCs w:val="28"/>
          <w:lang w:val="en-US" w:eastAsia="zh-CN"/>
        </w:rPr>
        <w:t>定期巡检：质保期内每季度一次现场巡检，出具巡检报告</w:t>
      </w:r>
    </w:p>
    <w:p w14:paraId="13438BAC">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12.4</w:t>
      </w:r>
      <w:r>
        <w:rPr>
          <w:rFonts w:hint="default" w:ascii="仿宋" w:hAnsi="仿宋" w:eastAsia="仿宋" w:cs="仿宋"/>
          <w:b w:val="0"/>
          <w:sz w:val="28"/>
          <w:szCs w:val="28"/>
          <w:lang w:val="en-US" w:eastAsia="zh-CN"/>
        </w:rPr>
        <w:t>质保期内服务内容：软件升级、漏洞修复、配置优化</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提供系统运行优化建议</w:t>
      </w:r>
    </w:p>
    <w:p w14:paraId="033396B7">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12.5</w:t>
      </w:r>
      <w:r>
        <w:rPr>
          <w:rFonts w:hint="default" w:ascii="仿宋" w:hAnsi="仿宋" w:eastAsia="仿宋" w:cs="仿宋"/>
          <w:b w:val="0"/>
          <w:sz w:val="28"/>
          <w:szCs w:val="28"/>
          <w:lang w:val="en-US" w:eastAsia="zh-CN"/>
        </w:rPr>
        <w:t>质保期后服务：签署《年度维保服务合同》，提供优惠维保方案</w:t>
      </w:r>
      <w:r>
        <w:rPr>
          <w:rFonts w:hint="eastAsia" w:ascii="仿宋" w:hAnsi="仿宋" w:eastAsia="仿宋" w:cs="仿宋"/>
          <w:b w:val="0"/>
          <w:sz w:val="28"/>
          <w:szCs w:val="28"/>
          <w:lang w:val="en-US" w:eastAsia="zh-CN"/>
        </w:rPr>
        <w:t>、</w:t>
      </w:r>
      <w:r>
        <w:rPr>
          <w:rFonts w:hint="default" w:ascii="仿宋" w:hAnsi="仿宋" w:eastAsia="仿宋" w:cs="仿宋"/>
          <w:b w:val="0"/>
          <w:sz w:val="28"/>
          <w:szCs w:val="28"/>
          <w:lang w:val="en-US" w:eastAsia="zh-CN"/>
        </w:rPr>
        <w:t>备件保障与优先技术支持</w:t>
      </w:r>
    </w:p>
    <w:p w14:paraId="46A84616">
      <w:pPr>
        <w:pStyle w:val="3"/>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13.交付物清单</w:t>
      </w:r>
    </w:p>
    <w:p w14:paraId="1A9C0ABF">
      <w:pPr>
        <w:keepNext w:val="0"/>
        <w:keepLines w:val="0"/>
        <w:widowControl/>
        <w:suppressLineNumbers w:val="0"/>
        <w:jc w:val="left"/>
        <w:rPr>
          <w:rFonts w:hint="eastAsia" w:ascii="仿宋" w:hAnsi="仿宋" w:eastAsia="仿宋" w:cs="仿宋"/>
          <w:color w:val="auto"/>
          <w:sz w:val="28"/>
          <w:szCs w:val="28"/>
          <w:lang w:val="en-US" w:eastAsia="zh-CN"/>
        </w:rPr>
      </w:pPr>
      <w:r>
        <w:rPr>
          <w:rFonts w:hint="eastAsia" w:ascii="仿宋" w:hAnsi="仿宋" w:eastAsia="仿宋" w:cs="仿宋"/>
          <w:b w:val="0"/>
          <w:sz w:val="28"/>
          <w:szCs w:val="28"/>
          <w:lang w:val="en-US" w:eastAsia="zh-CN"/>
        </w:rPr>
        <w:t>‏13.1. 数据退出与迁移要求：合同终止、系统更换或后续迁移时，系统内病例、数字切片、题库、课程、视频、用户信息、学习记录、考核记录、标注数据及统计数据等应支持完整导出。导出格式应开放、通用、可识别，并提供字段说明、文件结构说明及数据校验方式；如需供应商配合开展后续系统迁移实施，按医院确认的迁移范围执行。</w:t>
      </w:r>
    </w:p>
    <w:p w14:paraId="50D8118D">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按合同约定交付，含出厂合格证；技术文档包括《项目实施方案》含架构图、拓扑图、设备清单）纸质2套+电子版1套、《用户操作手册》纸质2套+电子版1套、《运维维护手册》纸质2套+电子版1套、现场联调报告》纸质1套+电子版1套、《最终验收报告》纸质2套+电子版1套；培训资料为培训课件/操作视频电子版1套；其他包括设备质保卡、服务承诺函纸质1套。</w:t>
      </w:r>
    </w:p>
    <w:p w14:paraId="67783E10">
      <w:pPr>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14.信息安全</w:t>
      </w:r>
    </w:p>
    <w:p w14:paraId="105ABEFC">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14.</w:t>
      </w:r>
      <w:r>
        <w:rPr>
          <w:rFonts w:hint="default" w:ascii="仿宋" w:hAnsi="仿宋" w:eastAsia="仿宋" w:cs="仿宋"/>
          <w:b w:val="0"/>
          <w:sz w:val="28"/>
          <w:szCs w:val="28"/>
          <w:lang w:val="en-US" w:eastAsia="zh-CN"/>
        </w:rPr>
        <w:t>1.系统需接入内网，必须支持医院部署基础安全保障措施（至少包括防火墙、入侵检测/防御（IDS/IPS）、防病毒、日志审计、终端管控），并根据医院的通知要求及时更新策略。</w:t>
      </w:r>
    </w:p>
    <w:p w14:paraId="09E8929F">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14.</w:t>
      </w:r>
      <w:r>
        <w:rPr>
          <w:rFonts w:hint="default" w:ascii="仿宋" w:hAnsi="仿宋" w:eastAsia="仿宋" w:cs="仿宋"/>
          <w:b w:val="0"/>
          <w:sz w:val="28"/>
          <w:szCs w:val="28"/>
          <w:lang w:val="en-US" w:eastAsia="zh-CN"/>
        </w:rPr>
        <w:t>2.系统要求能够支持目前通用的各类操作系统环境，同时满足国产化系统适配，具备兼容非国产化环境和国产化信创环境调试部署运行的能力。</w:t>
      </w:r>
    </w:p>
    <w:p w14:paraId="6FBDC6A1">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r>
        <w:rPr>
          <w:rFonts w:hint="eastAsia" w:ascii="仿宋" w:hAnsi="仿宋" w:eastAsia="仿宋" w:cs="仿宋"/>
          <w:b w:val="0"/>
          <w:sz w:val="28"/>
          <w:szCs w:val="28"/>
          <w:lang w:val="en-US" w:eastAsia="zh-CN"/>
        </w:rPr>
        <w:t>14.</w:t>
      </w:r>
      <w:r>
        <w:rPr>
          <w:rFonts w:hint="default" w:ascii="仿宋" w:hAnsi="仿宋" w:eastAsia="仿宋" w:cs="仿宋"/>
          <w:b w:val="0"/>
          <w:sz w:val="28"/>
          <w:szCs w:val="28"/>
          <w:lang w:val="en-US" w:eastAsia="zh-CN"/>
        </w:rPr>
        <w:t>3.系统上线前需进行系统安全自评，并根据第三方漏洞扫描报告进行漏洞修复及安全加固，没有中高危漏洞方可接入内网；同时，每年定期根据系统安全评估报告和漏洞扫描报告结果进行漏洞修复及安全加固。</w:t>
      </w:r>
    </w:p>
    <w:p w14:paraId="2F6ABF18">
      <w:pPr>
        <w:rPr>
          <w:rFonts w:hint="default" w:ascii="仿宋" w:hAnsi="仿宋" w:eastAsia="仿宋" w:cs="仿宋"/>
          <w:b w:val="0"/>
          <w:sz w:val="28"/>
          <w:szCs w:val="28"/>
          <w:lang w:val="en-US" w:eastAsia="zh-CN"/>
        </w:rPr>
      </w:pPr>
      <w:r>
        <w:rPr>
          <w:rFonts w:hint="default" w:ascii="仿宋" w:hAnsi="仿宋" w:eastAsia="仿宋" w:cs="仿宋"/>
          <w:b w:val="0"/>
          <w:sz w:val="28"/>
          <w:szCs w:val="28"/>
          <w:lang w:val="en-US" w:eastAsia="zh-CN"/>
        </w:rPr>
        <w:br w:type="page"/>
      </w:r>
    </w:p>
    <w:p w14:paraId="27874BE1">
      <w:pPr>
        <w:widowControl/>
        <w:spacing w:after="120" w:line="312" w:lineRule="auto"/>
        <w:ind w:firstLine="480" w:firstLineChars="200"/>
        <w:jc w:val="left"/>
        <w:rPr>
          <w:rFonts w:ascii="Calibri" w:hAnsi="Calibri" w:eastAsia="宋体" w:cs="Times New Roman"/>
          <w:smallCaps/>
          <w:color w:val="000000"/>
          <w:kern w:val="2"/>
          <w:sz w:val="24"/>
          <w:szCs w:val="24"/>
          <w:lang w:eastAsia="zh-CN" w:bidi="ar-SA"/>
        </w:rPr>
      </w:pPr>
    </w:p>
    <w:tbl>
      <w:tblPr>
        <w:tblStyle w:val="32"/>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2D81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5D8D36C8">
            <w:pPr>
              <w:widowControl w:val="0"/>
              <w:spacing w:after="156" w:afterLines="50" w:line="240" w:lineRule="auto"/>
              <w:jc w:val="center"/>
              <w:rPr>
                <w:rFonts w:ascii="Calibri" w:hAnsi="Calibri" w:eastAsia="宋体" w:cs="Times New Roman"/>
                <w:color w:val="000000"/>
                <w:kern w:val="2"/>
                <w:sz w:val="24"/>
                <w:szCs w:val="24"/>
                <w:lang w:eastAsia="zh-CN" w:bidi="ar-SA"/>
              </w:rPr>
            </w:pPr>
            <w:r>
              <w:rPr>
                <w:rFonts w:hint="eastAsia" w:ascii="仿宋" w:hAnsi="仿宋" w:eastAsia="仿宋" w:cs="仿宋"/>
                <w:b/>
                <w:bCs/>
                <w:color w:val="000000"/>
                <w:kern w:val="2"/>
                <w:sz w:val="24"/>
                <w:szCs w:val="24"/>
                <w:lang w:eastAsia="zh-CN" w:bidi="ar"/>
              </w:rPr>
              <w:t>厂商基本信息表</w:t>
            </w:r>
          </w:p>
        </w:tc>
      </w:tr>
      <w:tr w14:paraId="7DDE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C3C7589">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63266F5D">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p w14:paraId="294DAFC3">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1.全国情况：</w:t>
            </w:r>
          </w:p>
          <w:p w14:paraId="32BF2378">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2.本公司情况：</w:t>
            </w:r>
          </w:p>
        </w:tc>
      </w:tr>
      <w:tr w14:paraId="0397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E0FD72C">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35361A6">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tc>
      </w:tr>
      <w:tr w14:paraId="10B3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5BA83E7">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8A68119">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tc>
      </w:tr>
      <w:tr w14:paraId="60C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49555A9">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31A455DA">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大型企业（）中型企业（）小型企业（）微型企业（）监狱企业（）其他</w:t>
            </w:r>
            <w:r>
              <w:rPr>
                <w:rFonts w:ascii="Calibri" w:hAnsi="Calibri" w:eastAsia="宋体" w:cs="Times New Roman"/>
                <w:color w:val="000000"/>
                <w:kern w:val="2"/>
                <w:sz w:val="24"/>
                <w:szCs w:val="24"/>
                <w:lang w:eastAsia="zh-CN" w:bidi="ar-SA"/>
              </w:rPr>
              <w:t>注：“是”打√</w:t>
            </w:r>
          </w:p>
        </w:tc>
      </w:tr>
    </w:tbl>
    <w:p w14:paraId="412079CE">
      <w:pPr>
        <w:widowControl w:val="0"/>
        <w:spacing w:after="0" w:line="360" w:lineRule="auto"/>
        <w:jc w:val="right"/>
        <w:rPr>
          <w:rFonts w:ascii="仿宋_GB2312" w:hAnsi="仿宋_GB2312" w:eastAsia="仿宋_GB2312" w:cs="Times New Roman"/>
          <w:b/>
          <w:color w:val="000000"/>
          <w:kern w:val="2"/>
          <w:sz w:val="24"/>
          <w:szCs w:val="24"/>
          <w:lang w:eastAsia="zh-CN" w:bidi="ar-SA"/>
        </w:rPr>
      </w:pPr>
    </w:p>
    <w:p w14:paraId="4AEA591D">
      <w:pPr>
        <w:widowControl w:val="0"/>
        <w:spacing w:after="0" w:line="360" w:lineRule="auto"/>
        <w:jc w:val="right"/>
        <w:rPr>
          <w:rFonts w:ascii="仿宋_GB2312" w:hAnsi="仿宋_GB2312" w:eastAsia="仿宋_GB2312" w:cs="Times New Roman"/>
          <w:b/>
          <w:color w:val="000000"/>
          <w:kern w:val="2"/>
          <w:sz w:val="24"/>
          <w:szCs w:val="24"/>
          <w:lang w:eastAsia="zh-CN" w:bidi="ar-SA"/>
        </w:rPr>
      </w:pPr>
      <w:r>
        <w:rPr>
          <w:rFonts w:hint="eastAsia" w:ascii="仿宋_GB2312" w:hAnsi="仿宋_GB2312" w:eastAsia="仿宋_GB2312" w:cs="Times New Roman"/>
          <w:b/>
          <w:color w:val="000000"/>
          <w:kern w:val="2"/>
          <w:sz w:val="24"/>
          <w:szCs w:val="24"/>
          <w:lang w:eastAsia="zh-CN" w:bidi="ar-SA"/>
        </w:rPr>
        <w:t>厂家（商）：盖公章</w:t>
      </w:r>
    </w:p>
    <w:p w14:paraId="418DD17B">
      <w:pPr>
        <w:widowControl w:val="0"/>
        <w:spacing w:after="156" w:afterLines="50" w:line="240" w:lineRule="auto"/>
        <w:jc w:val="right"/>
        <w:rPr>
          <w:rFonts w:ascii="Calibri" w:hAnsi="Calibri" w:eastAsia="宋体" w:cs="Times New Roman"/>
          <w:color w:val="000000"/>
          <w:kern w:val="2"/>
          <w:sz w:val="24"/>
          <w:szCs w:val="24"/>
          <w:lang w:eastAsia="zh-CN" w:bidi="ar-SA"/>
        </w:rPr>
      </w:pPr>
      <w:r>
        <w:rPr>
          <w:rFonts w:hint="eastAsia" w:ascii="仿宋_GB2312" w:hAnsi="仿宋_GB2312" w:eastAsia="仿宋_GB2312" w:cs="Times New Roman"/>
          <w:b/>
          <w:color w:val="000000"/>
          <w:kern w:val="2"/>
          <w:sz w:val="28"/>
          <w:szCs w:val="24"/>
          <w:lang w:eastAsia="zh-CN" w:bidi="ar-SA"/>
        </w:rPr>
        <w:t>日期：   年   月   日</w:t>
      </w:r>
    </w:p>
    <w:p w14:paraId="3A1A7986">
      <w:pPr>
        <w:widowControl w:val="0"/>
        <w:spacing w:after="0" w:line="240" w:lineRule="auto"/>
        <w:jc w:val="both"/>
        <w:rPr>
          <w:rFonts w:ascii="Calibri" w:hAnsi="Calibri" w:eastAsia="宋体" w:cs="Times New Roman"/>
          <w:color w:val="000000"/>
          <w:kern w:val="2"/>
          <w:sz w:val="24"/>
          <w:szCs w:val="24"/>
          <w:lang w:eastAsia="zh-CN" w:bidi="ar-SA"/>
        </w:rPr>
      </w:pPr>
    </w:p>
    <w:p w14:paraId="6F680A01">
      <w:pPr>
        <w:widowControl w:val="0"/>
        <w:spacing w:after="156" w:afterLines="50" w:line="240" w:lineRule="auto"/>
        <w:jc w:val="both"/>
        <w:rPr>
          <w:rFonts w:ascii="Calibri" w:hAnsi="Calibri" w:eastAsia="宋体" w:cs="Times New Roman"/>
          <w:color w:val="000000"/>
          <w:kern w:val="2"/>
          <w:sz w:val="24"/>
          <w:szCs w:val="24"/>
          <w:lang w:eastAsia="zh-CN" w:bidi="ar-SA"/>
        </w:rPr>
      </w:pPr>
      <w:r>
        <w:rPr>
          <w:rFonts w:ascii="Calibri" w:hAnsi="Calibri" w:eastAsia="宋体" w:cs="Times New Roman"/>
          <w:color w:val="000000"/>
          <w:kern w:val="2"/>
          <w:sz w:val="24"/>
          <w:szCs w:val="24"/>
          <w:lang w:eastAsia="zh-CN" w:bidi="ar-SA"/>
        </w:rPr>
        <w:br w:type="page"/>
      </w:r>
    </w:p>
    <w:p w14:paraId="1583A89A">
      <w:pPr>
        <w:widowControl w:val="0"/>
        <w:spacing w:after="0" w:line="240" w:lineRule="auto"/>
        <w:jc w:val="center"/>
        <w:rPr>
          <w:rFonts w:ascii="方正小标宋_GBK" w:hAnsi="方正小标宋_GBK" w:eastAsia="方正小标宋_GBK" w:cs="方正小标宋_GBK"/>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病理数字切片与亚专科资源平台</w:t>
      </w:r>
    </w:p>
    <w:p w14:paraId="0B6E2557">
      <w:pPr>
        <w:widowControl w:val="0"/>
        <w:spacing w:after="0" w:line="240" w:lineRule="auto"/>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采购项目报价表</w:t>
      </w:r>
    </w:p>
    <w:p w14:paraId="32CE3C55">
      <w:pPr>
        <w:widowControl w:val="0"/>
        <w:spacing w:after="0" w:line="240" w:lineRule="auto"/>
        <w:jc w:val="both"/>
        <w:rPr>
          <w:rFonts w:ascii="Calibri" w:hAnsi="Calibri" w:eastAsia="宋体" w:cs="Times New Roman"/>
          <w:color w:val="000000"/>
          <w:kern w:val="2"/>
          <w:sz w:val="24"/>
          <w:szCs w:val="24"/>
          <w:lang w:eastAsia="zh-CN" w:bidi="ar-SA"/>
        </w:rPr>
      </w:pPr>
    </w:p>
    <w:tbl>
      <w:tblPr>
        <w:tblStyle w:val="32"/>
        <w:tblW w:w="9474" w:type="dxa"/>
        <w:jc w:val="center"/>
        <w:tblLayout w:type="fixed"/>
        <w:tblCellMar>
          <w:top w:w="0" w:type="dxa"/>
          <w:left w:w="0" w:type="dxa"/>
          <w:bottom w:w="0" w:type="dxa"/>
          <w:right w:w="0" w:type="dxa"/>
        </w:tblCellMar>
      </w:tblPr>
      <w:tblGrid>
        <w:gridCol w:w="1413"/>
        <w:gridCol w:w="2561"/>
        <w:gridCol w:w="2760"/>
        <w:gridCol w:w="1888"/>
        <w:gridCol w:w="852"/>
      </w:tblGrid>
      <w:tr w14:paraId="473F6FC7">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9CB9DB">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778E9F7">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内容</w:t>
            </w:r>
          </w:p>
        </w:tc>
        <w:tc>
          <w:tcPr>
            <w:tcW w:w="27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BF3DD92">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654D4A1">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EE04173">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备注</w:t>
            </w:r>
          </w:p>
        </w:tc>
      </w:tr>
      <w:tr w14:paraId="3087B032">
        <w:tblPrEx>
          <w:tblCellMar>
            <w:top w:w="0" w:type="dxa"/>
            <w:left w:w="0" w:type="dxa"/>
            <w:bottom w:w="0" w:type="dxa"/>
            <w:right w:w="0" w:type="dxa"/>
          </w:tblCellMar>
        </w:tblPrEx>
        <w:trPr>
          <w:trHeight w:val="2739"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11E6E6">
            <w:pPr>
              <w:widowControl w:val="0"/>
              <w:spacing w:after="0" w:line="240" w:lineRule="auto"/>
              <w:jc w:val="both"/>
              <w:rPr>
                <w:rFonts w:ascii="Calibri" w:hAnsi="Calibri" w:eastAsia="宋体" w:cs="Times New Roman"/>
                <w:color w:val="000000"/>
                <w:kern w:val="2"/>
                <w:sz w:val="24"/>
                <w:szCs w:val="24"/>
                <w:lang w:eastAsia="zh-CN" w:bidi="ar-SA"/>
              </w:rPr>
            </w:pPr>
            <w:r>
              <w:rPr>
                <w:rFonts w:hint="eastAsia" w:ascii="Calibri" w:hAnsi="Calibri" w:cs="Times New Roman"/>
                <w:color w:val="000000"/>
                <w:kern w:val="2"/>
                <w:sz w:val="24"/>
                <w:szCs w:val="24"/>
                <w:lang w:val="en-US" w:eastAsia="zh-CN" w:bidi="ar-SA"/>
              </w:rPr>
              <w:t>病理数字切片与亚专科资源平台</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5743E">
            <w:pPr>
              <w:widowControl w:val="0"/>
              <w:spacing w:after="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详见建设要求。</w:t>
            </w:r>
          </w:p>
        </w:tc>
        <w:tc>
          <w:tcPr>
            <w:tcW w:w="2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9727D9">
            <w:pPr>
              <w:widowControl w:val="0"/>
              <w:spacing w:after="0" w:line="240" w:lineRule="auto"/>
              <w:jc w:val="both"/>
              <w:rPr>
                <w:rFonts w:hint="default" w:ascii="Calibri" w:hAnsi="Calibri" w:eastAsia="宋体" w:cs="Times New Roman"/>
                <w:color w:val="000000"/>
                <w:kern w:val="2"/>
                <w:sz w:val="24"/>
                <w:szCs w:val="24"/>
                <w:lang w:val="en-US" w:eastAsia="zh-CN" w:bidi="ar-SA"/>
              </w:rPr>
            </w:pPr>
            <w:bookmarkStart w:id="0" w:name="_GoBack"/>
            <w:r>
              <w:rPr>
                <w:rFonts w:hint="eastAsia" w:ascii="Calibri" w:hAnsi="Calibri" w:eastAsia="宋体" w:cs="Times New Roman"/>
                <w:color w:val="000000"/>
                <w:kern w:val="2"/>
                <w:sz w:val="24"/>
                <w:szCs w:val="24"/>
                <w:lang w:val="en-US" w:eastAsia="zh-CN" w:bidi="ar-SA"/>
              </w:rPr>
              <w:t>建设覆盖亚专科资源库、数字阅片、三屏录像、在线考核、全生命周期病例切片管理等功能，支持多角色精细化权限管控与</w:t>
            </w:r>
            <w:r>
              <w:rPr>
                <w:rFonts w:hint="eastAsia" w:ascii="Calibri" w:hAnsi="Calibri" w:cs="Times New Roman"/>
                <w:color w:val="000000"/>
                <w:kern w:val="2"/>
                <w:sz w:val="24"/>
                <w:szCs w:val="24"/>
                <w:lang w:val="en-US" w:eastAsia="zh-CN" w:bidi="ar-SA"/>
              </w:rPr>
              <w:t>多</w:t>
            </w:r>
            <w:r>
              <w:rPr>
                <w:rFonts w:hint="eastAsia" w:ascii="Calibri" w:hAnsi="Calibri" w:eastAsia="宋体" w:cs="Times New Roman"/>
                <w:color w:val="000000"/>
                <w:kern w:val="2"/>
                <w:sz w:val="24"/>
                <w:szCs w:val="24"/>
                <w:lang w:val="en-US" w:eastAsia="zh-CN" w:bidi="ar-SA"/>
              </w:rPr>
              <w:t>用户并发访问，满足医院教学培训、病例研讨、科研支撑与规培考核需求。</w:t>
            </w:r>
            <w:bookmarkEnd w:id="0"/>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30599E">
            <w:pPr>
              <w:widowControl w:val="0"/>
              <w:spacing w:after="0" w:line="240" w:lineRule="auto"/>
              <w:jc w:val="both"/>
              <w:rPr>
                <w:rFonts w:ascii="Calibri" w:hAnsi="Calibri" w:eastAsia="宋体" w:cs="Times New Roman"/>
                <w:color w:val="000000"/>
                <w:kern w:val="2"/>
                <w:sz w:val="24"/>
                <w:szCs w:val="24"/>
                <w:lang w:eastAsia="zh-CN" w:bidi="ar-SA"/>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07DD97">
            <w:pPr>
              <w:widowControl w:val="0"/>
              <w:spacing w:after="0" w:line="240" w:lineRule="auto"/>
              <w:jc w:val="both"/>
              <w:rPr>
                <w:rFonts w:ascii="Calibri" w:hAnsi="Calibri" w:eastAsia="宋体" w:cs="Times New Roman"/>
                <w:color w:val="000000"/>
                <w:kern w:val="2"/>
                <w:sz w:val="24"/>
                <w:szCs w:val="24"/>
                <w:lang w:eastAsia="zh-CN" w:bidi="ar-SA"/>
              </w:rPr>
            </w:pPr>
          </w:p>
        </w:tc>
      </w:tr>
    </w:tbl>
    <w:p w14:paraId="2E36C9BB">
      <w:pPr>
        <w:widowControl w:val="0"/>
        <w:spacing w:after="0" w:line="240" w:lineRule="auto"/>
        <w:ind w:left="619" w:leftChars="295"/>
        <w:jc w:val="both"/>
        <w:rPr>
          <w:rFonts w:ascii="Calibri" w:hAnsi="Calibri" w:eastAsia="宋体" w:cs="Times New Roman"/>
          <w:color w:val="000000"/>
          <w:kern w:val="2"/>
          <w:sz w:val="24"/>
          <w:szCs w:val="24"/>
          <w:lang w:eastAsia="zh-CN" w:bidi="ar-SA"/>
        </w:rPr>
      </w:pPr>
    </w:p>
    <w:p w14:paraId="4F03BECC">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报价公司：</w:t>
      </w:r>
    </w:p>
    <w:p w14:paraId="3B56D7FA">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联系方式：</w:t>
      </w:r>
    </w:p>
    <w:p w14:paraId="5E9F3DDE">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是否对需求内容完全响应：</w:t>
      </w:r>
    </w:p>
    <w:p w14:paraId="7B2C5EF3">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日期：</w:t>
      </w:r>
    </w:p>
    <w:p w14:paraId="5AFCEAC9">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p>
    <w:p w14:paraId="37839164">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p>
    <w:p w14:paraId="0BFEF143">
      <w:pPr>
        <w:widowControl w:val="0"/>
        <w:spacing w:after="0" w:line="240" w:lineRule="auto"/>
        <w:jc w:val="both"/>
        <w:rPr>
          <w:rFonts w:ascii="Calibri" w:hAnsi="Calibri" w:eastAsia="宋体" w:cs="Times New Roman"/>
          <w:color w:val="000000"/>
          <w:kern w:val="2"/>
          <w:sz w:val="24"/>
          <w:szCs w:val="24"/>
          <w:lang w:eastAsia="zh-CN" w:bidi="ar-SA"/>
        </w:rPr>
      </w:pPr>
    </w:p>
    <w:p w14:paraId="50604C6D">
      <w:pPr>
        <w:widowControl w:val="0"/>
        <w:spacing w:after="0" w:line="240" w:lineRule="auto"/>
        <w:jc w:val="both"/>
        <w:rPr>
          <w:rFonts w:ascii="Calibri" w:hAnsi="Calibri" w:eastAsia="宋体" w:cs="Times New Roman"/>
          <w:color w:val="000000"/>
          <w:kern w:val="2"/>
          <w:sz w:val="24"/>
          <w:szCs w:val="24"/>
          <w:lang w:eastAsia="zh-CN" w:bidi="ar-SA"/>
        </w:rPr>
      </w:pPr>
      <w:r>
        <w:rPr>
          <w:rFonts w:ascii="Calibri" w:hAnsi="Calibri" w:eastAsia="宋体" w:cs="Times New Roman"/>
          <w:color w:val="000000"/>
          <w:kern w:val="2"/>
          <w:sz w:val="24"/>
          <w:szCs w:val="24"/>
          <w:lang w:eastAsia="zh-CN" w:bidi="ar-SA"/>
        </w:rPr>
        <w:br w:type="page"/>
      </w:r>
    </w:p>
    <w:p w14:paraId="7C4253CF">
      <w:pPr>
        <w:widowControl w:val="0"/>
        <w:spacing w:after="0" w:line="240" w:lineRule="auto"/>
        <w:jc w:val="center"/>
        <w:rPr>
          <w:rFonts w:ascii="方正小标宋_GBK" w:hAnsi="方正小标宋_GBK" w:eastAsia="方正小标宋_GBK" w:cs="方正小标宋_GBK"/>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病理数字切片与亚专科资源平台</w:t>
      </w:r>
    </w:p>
    <w:p w14:paraId="4D7C01BC">
      <w:pPr>
        <w:widowControl w:val="0"/>
        <w:spacing w:after="0" w:line="240" w:lineRule="auto"/>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采购项目建设方案</w:t>
      </w:r>
    </w:p>
    <w:p w14:paraId="067B3FFE">
      <w:pPr>
        <w:widowControl w:val="0"/>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（模板）</w:t>
      </w:r>
    </w:p>
    <w:p w14:paraId="2989C487">
      <w:pPr>
        <w:widowControl w:val="0"/>
        <w:spacing w:after="0" w:line="240" w:lineRule="auto"/>
        <w:jc w:val="both"/>
        <w:rPr>
          <w:rFonts w:ascii="Calibri" w:hAnsi="Calibri" w:eastAsia="宋体" w:cs="Times New Roman"/>
          <w:color w:val="000000"/>
          <w:kern w:val="2"/>
          <w:sz w:val="24"/>
          <w:szCs w:val="24"/>
          <w:lang w:eastAsia="zh-CN" w:bidi="ar-SA"/>
        </w:rPr>
      </w:pPr>
    </w:p>
    <w:p w14:paraId="0AC33717">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需求xxx</w:t>
      </w:r>
    </w:p>
    <w:p w14:paraId="56A481FF">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1．需求xxx</w:t>
      </w:r>
    </w:p>
    <w:p w14:paraId="056C0D47">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26E39A64">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228AE649">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2.需求xxx</w:t>
      </w:r>
    </w:p>
    <w:p w14:paraId="21B51B5E">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3377BCCA">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131FF1E5">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3.需求xxx</w:t>
      </w:r>
    </w:p>
    <w:p w14:paraId="4D073688">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75D8E6A0">
      <w:pPr>
        <w:widowControl/>
        <w:adjustRightInd w:val="0"/>
        <w:snapToGrid w:val="0"/>
        <w:spacing w:after="156" w:afterLines="50" w:line="560" w:lineRule="exact"/>
        <w:ind w:left="720" w:firstLine="556"/>
        <w:jc w:val="both"/>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6B2C1CA5">
      <w:pPr>
        <w:widowControl w:val="0"/>
        <w:spacing w:after="0" w:line="240" w:lineRule="auto"/>
        <w:rPr>
          <w:rFonts w:ascii="Times New Roman" w:hAnsi="Times New Roman" w:eastAsia="Times New Roman" w:cs="Times New Roman"/>
          <w:color w:val="auto"/>
          <w:sz w:val="24"/>
          <w:szCs w:val="24"/>
          <w:lang w:eastAsia="zh-CN" w:bidi="en-US"/>
        </w:rPr>
      </w:pPr>
      <w:r>
        <w:rPr>
          <w:rFonts w:ascii="仿宋" w:hAnsi="仿宋" w:eastAsia="仿宋" w:cs="Times New Roman"/>
          <w:color w:val="000000"/>
          <w:kern w:val="0"/>
          <w:sz w:val="28"/>
          <w:szCs w:val="28"/>
          <w:lang w:eastAsia="zh-CN" w:bidi="ar-SA"/>
        </w:rPr>
        <w:t>二、其它</w:t>
      </w:r>
    </w:p>
    <w:p w14:paraId="1E401C06">
      <w:pPr>
        <w:widowControl w:val="0"/>
        <w:spacing w:after="0" w:line="240" w:lineRule="auto"/>
        <w:jc w:val="both"/>
        <w:rPr>
          <w:rFonts w:hint="eastAsia" w:ascii="方正仿宋_GBK" w:hAnsi="方正仿宋_GBK" w:eastAsia="方正仿宋_GBK" w:cs="方正仿宋_GBK"/>
          <w:color w:val="auto"/>
          <w:kern w:val="2"/>
          <w:sz w:val="24"/>
          <w:szCs w:val="24"/>
          <w:highlight w:val="none"/>
          <w:lang w:eastAsia="zh-CN" w:bidi="ar"/>
        </w:rPr>
      </w:pPr>
    </w:p>
    <w:p w14:paraId="024C0767">
      <w:pPr>
        <w:pageBreakBefore w:val="0"/>
        <w:widowControl/>
        <w:kinsoku/>
        <w:wordWrap/>
        <w:overflowPunct/>
        <w:topLinePunct w:val="0"/>
        <w:autoSpaceDE/>
        <w:autoSpaceDN/>
        <w:bidi w:val="0"/>
        <w:adjustRightInd/>
        <w:snapToGrid/>
        <w:spacing w:after="0" w:line="560" w:lineRule="exact"/>
        <w:textAlignment w:val="auto"/>
        <w:rPr>
          <w:rFonts w:hint="default" w:ascii="仿宋" w:hAnsi="仿宋" w:eastAsia="仿宋" w:cs="仿宋"/>
          <w:b w:val="0"/>
          <w:sz w:val="28"/>
          <w:szCs w:val="28"/>
          <w:lang w:val="en-US" w:eastAsia="zh-CN"/>
        </w:rPr>
      </w:pPr>
    </w:p>
    <w:p w14:paraId="09795D86"/>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33F79AE-A5CD-40EC-A678-F06079124E4C}"/>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Times New Roman"/>
    <w:panose1 w:val="00000000000000000000"/>
    <w:charset w:val="80"/>
    <w:family w:val="roman"/>
    <w:pitch w:val="default"/>
    <w:sig w:usb0="00000000" w:usb1="00000000" w:usb2="00000010" w:usb3="00000000" w:csb0="00020000" w:csb1="00000000"/>
  </w:font>
  <w:font w:name="汉仪书宋二KW">
    <w:altName w:val="宋体"/>
    <w:panose1 w:val="00020600040101010101"/>
    <w:charset w:val="86"/>
    <w:family w:val="auto"/>
    <w:pitch w:val="default"/>
    <w:sig w:usb0="00000000" w:usb1="00000000" w:usb2="00000016"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802289A8-B36C-4AD5-932E-46E9B81E0A86}"/>
  </w:font>
  <w:font w:name="仿宋">
    <w:panose1 w:val="02010609060101010101"/>
    <w:charset w:val="86"/>
    <w:family w:val="auto"/>
    <w:pitch w:val="default"/>
    <w:sig w:usb0="800002BF" w:usb1="38CF7CFA" w:usb2="00000016" w:usb3="00000000" w:csb0="00040001" w:csb1="00000000"/>
    <w:embedRegular r:id="rId3" w:fontKey="{697F8DB8-CC60-451A-B381-4E8A35623060}"/>
  </w:font>
  <w:font w:name="华文楷体">
    <w:panose1 w:val="02010600040101010101"/>
    <w:charset w:val="86"/>
    <w:family w:val="auto"/>
    <w:pitch w:val="default"/>
    <w:sig w:usb0="00000287" w:usb1="080F0000" w:usb2="00000000" w:usb3="00000000" w:csb0="0004009F" w:csb1="DFD70000"/>
    <w:embedRegular r:id="rId4" w:fontKey="{A75A7DC4-0B0D-493E-BAF2-D8E863A7C035}"/>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糯米奶团体">
    <w:panose1 w:val="02000503000000000000"/>
    <w:charset w:val="86"/>
    <w:family w:val="auto"/>
    <w:pitch w:val="default"/>
    <w:sig w:usb0="8000002F" w:usb1="084164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5" w:fontKey="{622AC01B-7512-48D2-988F-847CC4D7569B}"/>
  </w:font>
  <w:font w:name="方正小标宋简体">
    <w:panose1 w:val="02000000000000000000"/>
    <w:charset w:val="86"/>
    <w:family w:val="auto"/>
    <w:pitch w:val="default"/>
    <w:sig w:usb0="00000001" w:usb1="08000000" w:usb2="00000000" w:usb3="00000000" w:csb0="00040000" w:csb1="00000000"/>
    <w:embedRegular r:id="rId6" w:fontKey="{587D9232-BF18-4019-A8CA-B125A1D1028F}"/>
  </w:font>
  <w:font w:name="方正仿宋_GBK">
    <w:panose1 w:val="03000509000000000000"/>
    <w:charset w:val="86"/>
    <w:family w:val="script"/>
    <w:pitch w:val="default"/>
    <w:sig w:usb0="00000001" w:usb1="080E0000" w:usb2="00000000" w:usb3="00000000" w:csb0="00040000" w:csb1="00000000"/>
    <w:embedRegular r:id="rId7" w:fontKey="{47468173-41A6-42B1-AECC-0801D5B68AED}"/>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46A6F85"/>
    <w:rsid w:val="1FF3EE78"/>
    <w:rsid w:val="34754D20"/>
    <w:rsid w:val="44961287"/>
    <w:rsid w:val="5CD32DF8"/>
    <w:rsid w:val="5D3B2A81"/>
    <w:rsid w:val="63E9A1EE"/>
    <w:rsid w:val="656F253A"/>
    <w:rsid w:val="6BFBBC83"/>
    <w:rsid w:val="716D3CA6"/>
    <w:rsid w:val="7BAF7C6E"/>
    <w:rsid w:val="AA3B4A82"/>
    <w:rsid w:val="B7D33B6E"/>
    <w:rsid w:val="BFA9E57A"/>
    <w:rsid w:val="C2BB9BEB"/>
    <w:rsid w:val="CF799835"/>
    <w:rsid w:val="D7FFBDC5"/>
    <w:rsid w:val="DFC44956"/>
    <w:rsid w:val="F7DC47A8"/>
    <w:rsid w:val="FBBF810A"/>
    <w:rsid w:val="FCE6B437"/>
    <w:rsid w:val="FFDF9A43"/>
    <w:rsid w:val="FFF74D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link w:val="164"/>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character" w:customStyle="1" w:styleId="164">
    <w:name w:val="列表 3 Char"/>
    <w:link w:val="1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9</Pages>
  <Words>1603</Words>
  <Characters>1711</Characters>
  <Lines>0</Lines>
  <Paragraphs>0</Paragraphs>
  <TotalTime>22</TotalTime>
  <ScaleCrop>false</ScaleCrop>
  <LinksUpToDate>false</LinksUpToDate>
  <CharactersWithSpaces>1757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2013-12-25T07:15:00Z</dcterms:created>
  <dc:creator>python-docx</dc:creator>
  <dc:description>generated by python-docx</dc:description>
  <cp:lastModifiedBy>陈柯岚</cp:lastModifiedBy>
  <dcterms:modified xsi:type="dcterms:W3CDTF">2026-06-08T02:19:40Z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9A4AADA86BA348F3A58CB9054722FFB3_13</vt:lpwstr>
  </property>
  <property fmtid="{D5CDD505-2E9C-101B-9397-08002B2CF9AE}" pid="4" name="KSOTemplateDocerSaveRecord">
    <vt:lpwstr>eyJoZGlkIjoiNzFlMjMwZGJkMDk0NjRmNTA4MmJkNjU5M2Y3ZjRhZmEiLCJ1c2VySWQiOiIxMDEwNTk2NjIzIn0=</vt:lpwstr>
  </property>
</Properties>
</file>