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6F3F">
      <w:pPr>
        <w:pStyle w:val="2"/>
        <w:spacing w:before="60" w:after="60" w:line="640" w:lineRule="exact"/>
        <w:jc w:val="center"/>
        <w:rPr>
          <w:rFonts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HRP系统开发服务项目</w:t>
      </w:r>
    </w:p>
    <w:p w14:paraId="313E1440">
      <w:pPr>
        <w:pStyle w:val="2"/>
        <w:spacing w:before="60" w:after="60" w:line="640" w:lineRule="exact"/>
        <w:jc w:val="center"/>
        <w:rPr>
          <w:rFonts w:ascii="方正小标宋_GBK" w:hAnsi="方正小标宋_GBK" w:eastAsia="方正小标宋_GBK" w:cs="方正小标宋_GBK"/>
          <w:b w:val="0"/>
          <w:bCs w:val="0"/>
          <w:kern w:val="36"/>
        </w:rPr>
      </w:pPr>
      <w:r>
        <w:rPr>
          <w:rFonts w:hint="eastAsia" w:ascii="宋体" w:hAnsi="宋体" w:eastAsia="宋体" w:cs="宋体"/>
          <w:color w:val="333333"/>
          <w:lang w:val="en-US" w:eastAsia="zh-CN"/>
        </w:rPr>
        <w:t>部分</w:t>
      </w:r>
      <w:r>
        <w:rPr>
          <w:rFonts w:ascii="宋体" w:hAnsi="宋体" w:eastAsia="宋体" w:cs="宋体"/>
          <w:color w:val="333333"/>
        </w:rPr>
        <w:t>配套服务器</w:t>
      </w:r>
      <w:r>
        <w:rPr>
          <w:rFonts w:hint="eastAsia" w:ascii="宋体" w:hAnsi="宋体" w:eastAsia="宋体" w:cs="宋体"/>
          <w:color w:val="333333"/>
        </w:rPr>
        <w:t>建设需求</w:t>
      </w:r>
    </w:p>
    <w:p w14:paraId="4B36BBB4">
      <w:pPr>
        <w:pStyle w:val="19"/>
        <w:spacing w:before="0" w:beforeAutospacing="0" w:after="0" w:afterAutospacing="0"/>
      </w:pPr>
      <w:r>
        <w:rPr>
          <w:rFonts w:hint="eastAsia" w:ascii="华文仿宋" w:hAnsi="华文仿宋" w:eastAsia="华文仿宋"/>
          <w:b/>
          <w:bCs/>
          <w:color w:val="000000"/>
          <w:sz w:val="36"/>
          <w:szCs w:val="36"/>
        </w:rPr>
        <w:t> </w:t>
      </w:r>
    </w:p>
    <w:p w14:paraId="64C328F3">
      <w:pPr>
        <w:pStyle w:val="19"/>
        <w:numPr>
          <w:ilvl w:val="0"/>
          <w:numId w:val="0"/>
        </w:numPr>
        <w:spacing w:before="0" w:beforeAutospacing="0" w:after="0" w:afterAutospacing="0" w:line="560" w:lineRule="exact"/>
        <w:jc w:val="both"/>
        <w:rPr>
          <w:rFonts w:ascii="PingFang SC" w:hAnsi="PingFang SC" w:eastAsia="PingFang SC"/>
          <w:color w:val="000000"/>
        </w:rPr>
      </w:pPr>
      <w:r>
        <w:rPr>
          <w:rFonts w:hint="default" w:ascii="方正楷体_GBK" w:hAnsi="方正楷体_GBK" w:eastAsia="方正楷体_GBK" w:cs="方正楷体_GBK"/>
          <w:b/>
          <w:color w:val="000000"/>
          <w:kern w:val="0"/>
          <w:sz w:val="32"/>
          <w:szCs w:val="24"/>
          <w:lang w:val="en-US" w:eastAsia="zh-CN" w:bidi="ar-SA"/>
        </w:rPr>
        <w:t>一、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服务器参数要求</w:t>
      </w:r>
      <w:r>
        <w:rPr>
          <w:rFonts w:hint="eastAsia" w:ascii="PingFang SC" w:hAnsi="PingFang SC" w:eastAsia="PingFang SC"/>
          <w:color w:val="000000"/>
        </w:rPr>
        <w:t xml:space="preserve"> </w:t>
      </w:r>
    </w:p>
    <w:p w14:paraId="41ED309B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bookmarkStart w:id="0" w:name="_Hlk148434169"/>
    </w:p>
    <w:p w14:paraId="4B7D3FC1">
      <w:pPr>
        <w:pStyle w:val="22"/>
        <w:jc w:val="both"/>
        <w:rPr>
          <w:rFonts w:hint="default"/>
          <w:b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color w:val="000000"/>
          <w:sz w:val="24"/>
          <w:lang w:eastAsia="zh-CN"/>
        </w:rPr>
        <w:t>）</w:t>
      </w:r>
      <w:r>
        <w:rPr>
          <w:rFonts w:ascii="仿宋_GB2312" w:hAnsi="仿宋_GB2312" w:eastAsia="仿宋_GB2312" w:cs="仿宋_GB2312"/>
          <w:b/>
          <w:color w:val="000000"/>
          <w:sz w:val="24"/>
        </w:rPr>
        <w:t>HRP系统开发服务项目配套服务器-应用服务器</w:t>
      </w:r>
      <w:r>
        <w:rPr>
          <w:rFonts w:ascii="仿宋_GB2312" w:hAnsi="仿宋_GB2312" w:eastAsia="仿宋_GB2312" w:cs="仿宋_GB2312"/>
          <w:b/>
          <w:color w:val="000000"/>
          <w:sz w:val="24"/>
          <w:lang w:eastAsia="zh-CN"/>
        </w:rPr>
        <w:t>1台</w:t>
      </w:r>
    </w:p>
    <w:p w14:paraId="0D52FB33">
      <w:pPr>
        <w:pStyle w:val="22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1、CPU：双处理器，单颗≥24 核，≥48 线程，主频≥2.6GHz。在响应文件中载明响应产品的CPU信息，包括CPU型号、物理核心数、主频、末级缓存容量、线程数、热设计功耗及支持内存的最高速率、通道数和位宽。</w:t>
      </w:r>
    </w:p>
    <w:p w14:paraId="183F1BCB">
      <w:pPr>
        <w:pStyle w:val="22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2、内存：≥8×32GB DDR4-3200。</w:t>
      </w:r>
    </w:p>
    <w:p w14:paraId="7AF0E7B5">
      <w:pPr>
        <w:pStyle w:val="22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3、存储：①系统盘：2×960GB SATA-3 SSD。②数据盘：≥2×1TB NVMe U.2 SSD。③RAID 卡：8口、2GB缓存、12Gb通道，支持 RAID 0/1/5/6/10。</w:t>
      </w:r>
    </w:p>
    <w:p w14:paraId="7FADAEBB">
      <w:pPr>
        <w:pStyle w:val="22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4、网络：≥4×千兆+2×万兆多模光口（含光模块与跳线）。</w:t>
      </w:r>
    </w:p>
    <w:p w14:paraId="6F6B21C0">
      <w:pPr>
        <w:pStyle w:val="22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5、电源：≥2000W（2+2）冗余电源。</w:t>
      </w:r>
    </w:p>
    <w:p w14:paraId="6556088D">
      <w:pPr>
        <w:pStyle w:val="22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6、CPU和操作系统等关键部件应当符合安全可靠测评要求。至少支持鲲鹏、飞腾、海光的CPU架构。</w:t>
      </w:r>
    </w:p>
    <w:p w14:paraId="438B4E96">
      <w:pPr>
        <w:pStyle w:val="22"/>
        <w:jc w:val="both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7、除以上的技术参数与性能指标外，响应产品还应满足《财政部 工业和信息化部关于印发&lt;通用服务器政府采购需求标准（2023年版）&gt;的通知》（财库〔2023〕33号）的附件“通用服务器政府采购需求标准（2023年版）”中全部加*指标要求。</w:t>
      </w:r>
    </w:p>
    <w:p w14:paraId="01315CE2">
      <w:pPr>
        <w:pStyle w:val="22"/>
        <w:jc w:val="both"/>
        <w:rPr>
          <w:rFonts w:hint="default"/>
          <w:b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000000"/>
          <w:sz w:val="24"/>
          <w:lang w:eastAsia="zh-CN"/>
        </w:rPr>
        <w:t>）</w:t>
      </w:r>
      <w:r>
        <w:rPr>
          <w:rFonts w:ascii="仿宋_GB2312" w:hAnsi="仿宋_GB2312" w:eastAsia="仿宋_GB2312" w:cs="仿宋_GB2312"/>
          <w:b/>
          <w:color w:val="000000"/>
          <w:sz w:val="24"/>
        </w:rPr>
        <w:t>HRP系统开发服务项目配套服务器-数据服务器</w:t>
      </w:r>
      <w:r>
        <w:rPr>
          <w:rFonts w:ascii="仿宋_GB2312" w:hAnsi="仿宋_GB2312" w:eastAsia="仿宋_GB2312" w:cs="仿宋_GB2312"/>
          <w:b/>
          <w:color w:val="000000"/>
          <w:sz w:val="24"/>
          <w:lang w:eastAsia="zh-CN"/>
        </w:rPr>
        <w:t>1台</w:t>
      </w:r>
    </w:p>
    <w:p w14:paraId="3B66405C">
      <w:pPr>
        <w:pStyle w:val="22"/>
        <w:jc w:val="both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1、CPU：双处理器，单颗≥48 核，≥96 线程，主频≥2.6GHz。在响应文件中载明响应产品的CPU信息，包括CPU型号、物理核心数、主频、末级缓存容量、线程数、热设计功耗及支持内存的最高速率、通道数和位宽。</w:t>
      </w:r>
    </w:p>
    <w:p w14:paraId="62E154DD">
      <w:pPr>
        <w:pStyle w:val="22"/>
        <w:jc w:val="both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2、内存：≥8×64GB DDR4-3200。</w:t>
      </w:r>
    </w:p>
    <w:p w14:paraId="10F0BC4B">
      <w:pPr>
        <w:pStyle w:val="22"/>
        <w:jc w:val="both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3、存储：①系统盘：2×960GB SATA-3 SSD。②数据盘：2×1.92TB NVMe U.2 SSD。③RAID 卡：8口、2GB 缓存、支持RAID 0/1/5/6/10。</w:t>
      </w:r>
    </w:p>
    <w:p w14:paraId="0390D4B3">
      <w:pPr>
        <w:pStyle w:val="22"/>
        <w:jc w:val="both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4、网络：4×千兆+2×万兆多模光口（含光模块与跳线）。</w:t>
      </w:r>
    </w:p>
    <w:p w14:paraId="4777EBC9">
      <w:pPr>
        <w:pStyle w:val="22"/>
        <w:jc w:val="both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5、电源：≥2000W（2+2）冗余电源。</w:t>
      </w:r>
    </w:p>
    <w:p w14:paraId="795757DF">
      <w:pPr>
        <w:pStyle w:val="22"/>
        <w:jc w:val="both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6、CPU和操作系统等关键部件应当符合安全可靠测评要求。至少支持鲲鹏、飞腾、海光的CPU架构。</w:t>
      </w:r>
    </w:p>
    <w:p w14:paraId="17568D12">
      <w:pPr>
        <w:pStyle w:val="22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ascii="仿宋_GB2312" w:hAnsi="仿宋_GB2312" w:eastAsia="仿宋_GB2312" w:cs="仿宋_GB2312"/>
          <w:color w:val="000000"/>
          <w:sz w:val="24"/>
        </w:rPr>
        <w:t>7、除以上的技术参数与性能指标外，响应产品还应满足《财政部 工业和信息化部关于印发&lt;通用服务器政府采购需求标准（2023年版）&gt;的通知》（财库〔2023〕33号）的附件“通用服务器政府采购需求标准（2023年版）”中全部加*指标要求。</w:t>
      </w:r>
    </w:p>
    <w:p w14:paraId="10FF53C6">
      <w:pPr>
        <w:pStyle w:val="19"/>
        <w:numPr>
          <w:ilvl w:val="0"/>
          <w:numId w:val="0"/>
        </w:numPr>
        <w:spacing w:before="0" w:beforeAutospacing="0" w:after="0" w:afterAutospacing="0" w:line="560" w:lineRule="exact"/>
        <w:jc w:val="both"/>
        <w:rPr>
          <w:rFonts w:hint="default" w:ascii="方正楷体_GBK" w:hAnsi="方正楷体_GBK" w:eastAsia="方正楷体_GBK" w:cs="方正楷体_GBK"/>
          <w:b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/>
          <w:color w:val="000000"/>
          <w:kern w:val="0"/>
          <w:sz w:val="32"/>
          <w:szCs w:val="24"/>
          <w:lang w:val="en-US" w:eastAsia="zh-CN" w:bidi="ar-SA"/>
        </w:rPr>
        <w:t>二、其他要求：</w:t>
      </w:r>
    </w:p>
    <w:p w14:paraId="7FE4A8E5">
      <w:pPr>
        <w:pStyle w:val="19"/>
        <w:numPr>
          <w:ilvl w:val="0"/>
          <w:numId w:val="0"/>
        </w:numPr>
        <w:spacing w:before="0" w:beforeAutospacing="0" w:after="0" w:afterAutospacing="0" w:line="56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0"/>
          <w:lang w:val="en-US" w:eastAsia="zh-CN" w:bidi="ar-SA"/>
        </w:rPr>
        <w:t>1、本项目不接受联合体响应。</w:t>
      </w:r>
    </w:p>
    <w:p w14:paraId="3F5E60ED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>2、采购内容中的所有标的，供应商必须在报价表中载明响应报价、产地、品牌、规格型号、制造商、单价。</w:t>
      </w:r>
    </w:p>
    <w:p w14:paraId="458CFEFD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 xml:space="preserve">3、供应商为本项目提供的所有响应产品均为非进口产品。（说明：供应商在响应文件中响应。） </w:t>
      </w:r>
    </w:p>
    <w:p w14:paraId="3078731A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>4、供应商为本项目提供的所有产品、辅材中属于《国家强制性产品认证目录》范围内产品的，均应具有国家确定的认证机构出具的有效强制性产品认证证书。（说明：供应商在响应文件中响应。）</w:t>
      </w:r>
    </w:p>
    <w:p w14:paraId="4AD1B41F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 xml:space="preserve"> 5、架构：CPU、操作系统应与所配套的虚拟化软件及GPU驱动（产品及版本）兼容，支持稳定运行。系统支持国产数据库产品的部署与运行，至少包含KingbaseES V8，并具备良好的兼容性与稳定性。支持国密算法与安全登录。（说明：供应商在响应文件中响应。）</w:t>
      </w:r>
    </w:p>
    <w:p w14:paraId="10361E12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 xml:space="preserve"> 6、统一管理：支持商用开源方案或国产平台（如 Sealos、Harvester 等）实现统一管理。提供可视化 Web 控制台。支持虚拟化与容器化资源管理。支持虚拟机创建、容器编排、资源调度。支持性能监控、告警与日志分析。支持多租户隔离、角色权限、资源可视化、运行健康评分。满足医院集中管理与持续运维要求。（说明：供应商在响应文件中响应。）</w:t>
      </w:r>
    </w:p>
    <w:p w14:paraId="38671C57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 xml:space="preserve"> 7、分布式存储：至少支持 Ceph架构。具备数据冗余、热迁移、快照、副本机制。支持未来新增同等性能服务器节点扩展。（说明：供应商在响应文件中响应。） 8、GPU 虚拟化：支持GPU虚拟化与并行计算能力，支持单卡多实例或多任务并行运行。（说明：供应商在响应文件中响应。）</w:t>
      </w:r>
    </w:p>
    <w:p w14:paraId="287EFFE8">
      <w:pPr>
        <w:pStyle w:val="22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ascii="仿宋_GB2312" w:hAnsi="仿宋_GB2312" w:eastAsia="仿宋_GB2312" w:cs="仿宋_GB2312"/>
          <w:color w:val="000000"/>
          <w:sz w:val="24"/>
        </w:rPr>
        <w:t xml:space="preserve"> 9、安全与合规：符合最新要求GB/T 22239 等保 2.0 三级标准；GB/T 25070 云计算服务安全要求；GB/T 31167 私有云技术架构《网络安全法》《数据安全法》《个人信息保护法》；医疗行业标准，如《电子病历基本架构与数据标准》（WS 445-2022）、《医院信息平台构建规范》；建设单位须配合医院完成等保三级测评，包括对测评中发现问题和风险的处置、安全加固，渗透测试和整改。处置安全问题和风险，渗透测试和整改产生的费用包含在报价中。（说明：供应商在响应文件中响应。）</w:t>
      </w:r>
    </w:p>
    <w:p w14:paraId="06533824">
      <w:pPr>
        <w:pStyle w:val="1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color w:val="000000"/>
          <w:kern w:val="0"/>
          <w:sz w:val="24"/>
          <w:szCs w:val="20"/>
          <w:lang w:val="en-US" w:eastAsia="zh-Hans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0"/>
          <w:lang w:val="en-US" w:eastAsia="zh-Hans" w:bidi="ar-SA"/>
        </w:rPr>
        <w:t>10、项目验收阶段厂商须演示：</w:t>
      </w:r>
    </w:p>
    <w:p w14:paraId="13D48944">
      <w:pPr>
        <w:pStyle w:val="12"/>
        <w:keepNext w:val="0"/>
        <w:keepLines w:val="0"/>
        <w:widowControl/>
        <w:suppressLineNumbers w:val="0"/>
        <w:rPr>
          <w:rFonts w:hint="default" w:ascii="仿宋_GB2312" w:hAnsi="仿宋_GB2312" w:eastAsia="仿宋_GB2312" w:cs="仿宋_GB2312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0"/>
          <w:lang w:val="en-US" w:eastAsia="zh-Hans" w:bidi="ar-SA"/>
        </w:rPr>
        <w:t>①服务器硬件部署与资源管理功能，包括CPU、内存、存储、网络资源配置与监控；②操作系统安装部署及资源调度管理功能，支持国产操作系统或主流Linux操作系统运行；③虚拟机或容器环境创建、启动、删除及资源分配管理；④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0"/>
          <w:lang w:val="en-US" w:eastAsia="zh-CN" w:bidi="ar-SA"/>
        </w:rPr>
        <w:t>可支持未来安装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0"/>
          <w:lang w:val="en-US" w:eastAsia="zh-Hans" w:bidi="ar-SA"/>
        </w:rPr>
        <w:t>GPU加速卡识别、驱动安装及运行状态监测；⑤通用加速工具输出，包括GPU设备识别、显存占用、算力状态监控等；⑥加速计算性能测试，包括FP16、FP32计算性能测试，多任务并发调度测试及GPU资源利用率测试；⑦驱动与计算框架兼容性验证，提供GPU驱动及计算运行环境兼容性测试报告，支持CUDA、ROCm、OpenCL或同等级计算环境，满足人工智能训练、推理及高性能计算需求；⑧网络与存储性能测试，包括数据读写性能、网络吞吐性能及系统稳定性验证。（说明：供应商在响应文件中响应。）</w:t>
      </w:r>
    </w:p>
    <w:p w14:paraId="530DEA45">
      <w:pPr>
        <w:pStyle w:val="1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color w:val="000000"/>
          <w:kern w:val="0"/>
          <w:sz w:val="24"/>
          <w:szCs w:val="20"/>
          <w:lang w:val="en-US" w:eastAsia="zh-Hans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0"/>
          <w:lang w:val="en-US" w:eastAsia="zh-Hans" w:bidi="ar-SA"/>
        </w:rPr>
        <w:t>11、服务器厂商验收表</w:t>
      </w:r>
    </w:p>
    <w:p w14:paraId="2B1D0B77">
      <w:pPr>
        <w:pStyle w:val="1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color w:val="000000"/>
          <w:kern w:val="0"/>
          <w:sz w:val="24"/>
          <w:szCs w:val="20"/>
          <w:lang w:val="en-US" w:eastAsia="zh-Hans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0"/>
          <w:lang w:val="en-US" w:eastAsia="zh-Hans" w:bidi="ar-SA"/>
        </w:rPr>
        <w:t>①部署效率：设备上架安装、操作系统部署、GPU环境配置及基础服务搭建完成，启动后1个月内完成验收考核，考核周期为阶段性；②系统兼容：支持麒麟操作系统、统信UOS、CentOS、OpenEuler等任意一种国产或主流操作系统稳定运行，通过兼容性测试，考核周期为阶段性；③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0"/>
          <w:lang w:val="en-US" w:eastAsia="zh-CN" w:bidi="ar-SA"/>
        </w:rPr>
        <w:t>可支持未来安装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0"/>
          <w:lang w:val="en-US" w:eastAsia="zh-Hans" w:bidi="ar-SA"/>
        </w:rPr>
        <w:t>GPU驱动：完成GPU驱动安装及运行测试，提供测试报告，通过验收考核，考核周期一次性；</w:t>
      </w:r>
    </w:p>
    <w:p w14:paraId="1165E633">
      <w:pPr>
        <w:pStyle w:val="1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color w:val="000000"/>
          <w:kern w:val="0"/>
          <w:sz w:val="24"/>
          <w:szCs w:val="20"/>
          <w:lang w:val="en-US" w:eastAsia="zh-Hans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0"/>
          <w:lang w:val="en-US" w:eastAsia="zh-Hans" w:bidi="ar-SA"/>
        </w:rPr>
        <w:t>④性能达标：CPU、内存、磁盘I/O、网络吞吐及GPU性能测试合格，通过验收考核，考核周期为阶段性；⑤安全与合规：满足国家网络安全等级保护2.0三级建设要求，具备必要的安全防护能力，通过验收考核，考核周期年度；⑥培训交付：完成不少于2次现场或远程培训，并提交完整技术文档、部署文档及运维手册，通过验收考核，考核周期为阶段性；⑦稳定运行：服务器及GPU计算环境年度运行稳定率达到项目要求，通过验收考核，考核周期年度；⑧运维服务：提供季度巡检、日志分析、故障处理及优化建议报告，通过验收考核，考核周期季度；⑨扩展能力：支持后续增加GPU卡、存储设备及网络扩容，满足业务增长需求，通过验收考核，考核周期一次性。</w:t>
      </w:r>
    </w:p>
    <w:p w14:paraId="68F52758">
      <w:pPr>
        <w:pStyle w:val="22"/>
        <w:numPr>
          <w:ilvl w:val="0"/>
          <w:numId w:val="0"/>
        </w:numPr>
        <w:rPr>
          <w:rFonts w:hint="default" w:ascii="仿宋_GB2312" w:hAnsi="仿宋_GB2312" w:eastAsia="仿宋_GB2312" w:cs="仿宋_GB2312"/>
          <w:color w:val="000000"/>
          <w:kern w:val="0"/>
          <w:sz w:val="24"/>
          <w:szCs w:val="20"/>
          <w:lang w:val="en-US" w:eastAsia="zh-CN" w:bidi="ar-SA"/>
        </w:rPr>
      </w:pPr>
    </w:p>
    <w:bookmarkEnd w:id="0"/>
    <w:p w14:paraId="4FBB7710">
      <w:pPr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ascii="Calibri" w:hAnsi="Calibri" w:eastAsia="宋体" w:cs="Times New Roman"/>
          <w:smallCaps/>
          <w:sz w:val="24"/>
          <w:szCs w:val="24"/>
        </w:rPr>
        <w:br w:type="page"/>
      </w:r>
    </w:p>
    <w:p w14:paraId="7197902E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tbl>
      <w:tblPr>
        <w:tblStyle w:val="1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7615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906A">
            <w:pPr>
              <w:spacing w:after="156" w:afterLines="5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厂商基本信息表</w:t>
            </w:r>
          </w:p>
        </w:tc>
      </w:tr>
      <w:tr w14:paraId="7458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CB74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CBA0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文字描述</w:t>
            </w:r>
          </w:p>
          <w:p w14:paraId="319F9D97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1.全国情况：</w:t>
            </w:r>
          </w:p>
          <w:p w14:paraId="04EC219B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2.本公司情况：</w:t>
            </w:r>
          </w:p>
        </w:tc>
      </w:tr>
      <w:tr w14:paraId="0024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DE8A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8343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文字描述</w:t>
            </w:r>
          </w:p>
        </w:tc>
      </w:tr>
      <w:tr w14:paraId="74C6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4A3C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5F37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文字描述</w:t>
            </w:r>
          </w:p>
        </w:tc>
      </w:tr>
      <w:tr w14:paraId="2403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9390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96A3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注：“是”打√</w:t>
            </w:r>
          </w:p>
        </w:tc>
      </w:tr>
    </w:tbl>
    <w:p w14:paraId="4CA9ADB3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  <w:szCs w:val="24"/>
        </w:rPr>
      </w:pPr>
    </w:p>
    <w:p w14:paraId="45EADB22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  <w:szCs w:val="24"/>
        </w:rPr>
      </w:pPr>
      <w:r>
        <w:rPr>
          <w:rFonts w:hint="eastAsia" w:ascii="仿宋_GB2312" w:hAnsi="仿宋_GB2312" w:eastAsia="仿宋_GB2312" w:cs="Times New Roman"/>
          <w:b/>
          <w:sz w:val="24"/>
          <w:szCs w:val="24"/>
        </w:rPr>
        <w:t>厂家（商）：盖公章</w:t>
      </w:r>
    </w:p>
    <w:p w14:paraId="326F15F8">
      <w:pPr>
        <w:spacing w:after="156" w:afterLines="50"/>
        <w:jc w:val="righ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_GB2312" w:hAnsi="仿宋_GB2312" w:eastAsia="仿宋_GB2312" w:cs="Times New Roman"/>
          <w:b/>
          <w:sz w:val="28"/>
          <w:szCs w:val="24"/>
        </w:rPr>
        <w:t>日期：   年   月   日</w:t>
      </w:r>
    </w:p>
    <w:p w14:paraId="5B9FC198">
      <w:pPr>
        <w:rPr>
          <w:rFonts w:ascii="Calibri" w:hAnsi="Calibri" w:eastAsia="宋体" w:cs="Times New Roman"/>
          <w:sz w:val="24"/>
          <w:szCs w:val="24"/>
        </w:rPr>
      </w:pPr>
    </w:p>
    <w:p w14:paraId="6E308060">
      <w:pPr>
        <w:spacing w:after="156" w:afterLines="50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br w:type="page"/>
      </w:r>
    </w:p>
    <w:p w14:paraId="4103E536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HRP系统开发服务项目</w:t>
      </w:r>
    </w:p>
    <w:p w14:paraId="466FB5BB">
      <w:pPr>
        <w:jc w:val="center"/>
        <w:rPr>
          <w:rFonts w:hint="eastAsia" w:ascii="方正小标宋简体" w:hAnsi="方正小标宋简体" w:eastAsia="方正小标宋_GBK" w:cs="Times New Roman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部分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配套服务器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采购项目报价表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第三次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</w:p>
    <w:p w14:paraId="4CB62BB9">
      <w:pPr>
        <w:rPr>
          <w:rFonts w:ascii="Calibri" w:hAnsi="Calibri" w:eastAsia="宋体" w:cs="Times New Roman"/>
          <w:sz w:val="24"/>
          <w:szCs w:val="24"/>
        </w:rPr>
      </w:pPr>
    </w:p>
    <w:tbl>
      <w:tblPr>
        <w:tblStyle w:val="13"/>
        <w:tblW w:w="94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2561"/>
        <w:gridCol w:w="2760"/>
        <w:gridCol w:w="1888"/>
        <w:gridCol w:w="852"/>
      </w:tblGrid>
      <w:tr w14:paraId="3AE42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AD343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项目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2226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内容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D251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用途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4B8F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报价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93860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备注</w:t>
            </w:r>
          </w:p>
        </w:tc>
      </w:tr>
      <w:tr w14:paraId="1835D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63A43"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HRP系统开发服务项目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部分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配套服务器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28AC7"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详见建设需求。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D203C">
            <w:pP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为搭建适配HRP系统运行的硬件环境，构建可扩展、易管理的超融合架构，确保系统功能完整落地，支撑核心业务运行、数据存储与计算等需求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B38D3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19644"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共计两台服务器，请分项报价。</w:t>
            </w:r>
          </w:p>
        </w:tc>
      </w:tr>
    </w:tbl>
    <w:p w14:paraId="44E8FB92">
      <w:pPr>
        <w:ind w:left="619" w:leftChars="295"/>
        <w:rPr>
          <w:rFonts w:ascii="Calibri" w:hAnsi="Calibri" w:eastAsia="宋体" w:cs="Times New Roman"/>
          <w:sz w:val="24"/>
          <w:szCs w:val="24"/>
        </w:rPr>
      </w:pPr>
    </w:p>
    <w:p w14:paraId="390F60D2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报价公司：</w:t>
      </w:r>
    </w:p>
    <w:p w14:paraId="293F562E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联系方式：</w:t>
      </w:r>
    </w:p>
    <w:p w14:paraId="092FA9A8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是否对需求内容完全响应：</w:t>
      </w:r>
    </w:p>
    <w:p w14:paraId="07B91080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日期：</w:t>
      </w:r>
    </w:p>
    <w:p w14:paraId="3E9AA220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01D928CF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1906F940">
      <w:pPr>
        <w:rPr>
          <w:rFonts w:ascii="Calibri" w:hAnsi="Calibri" w:eastAsia="宋体" w:cs="Times New Roman"/>
          <w:sz w:val="24"/>
          <w:szCs w:val="24"/>
        </w:rPr>
      </w:pPr>
    </w:p>
    <w:p w14:paraId="7B14E8FB">
      <w:pPr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br w:type="page"/>
      </w:r>
    </w:p>
    <w:p w14:paraId="3B1AB017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HRP系统开发服务项目</w:t>
      </w:r>
    </w:p>
    <w:p w14:paraId="5F33C18C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部分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配套服务器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采购项目建设方案</w:t>
      </w:r>
    </w:p>
    <w:p w14:paraId="5F286CA4">
      <w:pPr>
        <w:jc w:val="center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（模板）</w:t>
      </w:r>
    </w:p>
    <w:p w14:paraId="1B4400C4">
      <w:pPr>
        <w:rPr>
          <w:rFonts w:ascii="Calibri" w:hAnsi="Calibri" w:eastAsia="宋体" w:cs="Times New Roman"/>
          <w:sz w:val="24"/>
          <w:szCs w:val="24"/>
        </w:rPr>
      </w:pPr>
    </w:p>
    <w:p w14:paraId="53C82D53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需求xxx</w:t>
      </w:r>
    </w:p>
    <w:p w14:paraId="3E52930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1．需求xxx</w:t>
      </w:r>
    </w:p>
    <w:p w14:paraId="0F0CDAAB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063C0AF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56D799E1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2.需求xxx</w:t>
      </w:r>
    </w:p>
    <w:p w14:paraId="398513E4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21B52E39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58119ED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3.需求xxx</w:t>
      </w:r>
    </w:p>
    <w:p w14:paraId="01FAD7A8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29A34F20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5AEFD82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二、其它</w:t>
      </w:r>
    </w:p>
    <w:p w14:paraId="2124A8AF">
      <w:pPr>
        <w:ind w:firstLine="420" w:firstLineChars="200"/>
        <w:jc w:val="left"/>
        <w:rPr>
          <w:rFonts w:ascii="宋体" w:hAnsi="宋体" w:eastAsia="宋体" w:cs="宋体"/>
          <w:szCs w:val="21"/>
        </w:rPr>
      </w:pPr>
    </w:p>
    <w:p w14:paraId="1E30B51A">
      <w:pPr>
        <w:rPr>
          <w:rFonts w:ascii="Times New Roman" w:hAnsi="Times New Roman" w:eastAsia="宋体" w:cs="Times New Roman"/>
          <w:color w:val="993300"/>
          <w:sz w:val="24"/>
        </w:rPr>
      </w:pPr>
    </w:p>
    <w:p w14:paraId="7332F07C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531CF410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4CBDD1B6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16264236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2EC3B2B6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2434EA2B">
      <w:pPr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A01367-B399-4619-84DD-9DF010048BE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EA4DCE0-C3F5-475A-B3F8-EFBE44B5038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EAF3D4B-C138-4E2F-A09A-18E374CAF3A1}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  <w:embedRegular r:id="rId4" w:fontKey="{2AE9D94F-2BDC-4991-9237-9CF0F420A26E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34A4D56-C39D-438C-959B-F9E894378B7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D7C55825-4402-4737-A11F-D4176FB2D8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CC43B4D-5D4F-4B4F-A900-7704F0CC03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8" w:fontKey="{9358293A-AE12-44A8-994A-1C720BF419F7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B10F9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AF59A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AF59A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F7D41"/>
    <w:rsid w:val="000D1D27"/>
    <w:rsid w:val="000D2F93"/>
    <w:rsid w:val="000E7479"/>
    <w:rsid w:val="00101CEC"/>
    <w:rsid w:val="001212DC"/>
    <w:rsid w:val="00156D70"/>
    <w:rsid w:val="001E7106"/>
    <w:rsid w:val="002033AB"/>
    <w:rsid w:val="002505FA"/>
    <w:rsid w:val="0025315D"/>
    <w:rsid w:val="002616F4"/>
    <w:rsid w:val="003241BC"/>
    <w:rsid w:val="00332508"/>
    <w:rsid w:val="00361DF5"/>
    <w:rsid w:val="00377EB3"/>
    <w:rsid w:val="003E3A62"/>
    <w:rsid w:val="00437F3C"/>
    <w:rsid w:val="004716C4"/>
    <w:rsid w:val="00484014"/>
    <w:rsid w:val="004959EC"/>
    <w:rsid w:val="004D6118"/>
    <w:rsid w:val="004E029A"/>
    <w:rsid w:val="004E79B7"/>
    <w:rsid w:val="00562C6E"/>
    <w:rsid w:val="00567D8A"/>
    <w:rsid w:val="00570305"/>
    <w:rsid w:val="00640FFD"/>
    <w:rsid w:val="00646ECC"/>
    <w:rsid w:val="006F1636"/>
    <w:rsid w:val="006F7634"/>
    <w:rsid w:val="00736734"/>
    <w:rsid w:val="0075393D"/>
    <w:rsid w:val="00775821"/>
    <w:rsid w:val="007A0A41"/>
    <w:rsid w:val="007B6100"/>
    <w:rsid w:val="007F1741"/>
    <w:rsid w:val="008440CD"/>
    <w:rsid w:val="00852475"/>
    <w:rsid w:val="008D1C0C"/>
    <w:rsid w:val="008E02B1"/>
    <w:rsid w:val="008F1DC1"/>
    <w:rsid w:val="00900515"/>
    <w:rsid w:val="009246EC"/>
    <w:rsid w:val="009377D5"/>
    <w:rsid w:val="00962A53"/>
    <w:rsid w:val="00993614"/>
    <w:rsid w:val="00995B61"/>
    <w:rsid w:val="009E2A11"/>
    <w:rsid w:val="00A01E38"/>
    <w:rsid w:val="00A233C5"/>
    <w:rsid w:val="00BC440F"/>
    <w:rsid w:val="00BE442B"/>
    <w:rsid w:val="00BF7774"/>
    <w:rsid w:val="00C0063A"/>
    <w:rsid w:val="00C248C0"/>
    <w:rsid w:val="00D44D15"/>
    <w:rsid w:val="00D46BF2"/>
    <w:rsid w:val="00D56BB4"/>
    <w:rsid w:val="00DC1E0C"/>
    <w:rsid w:val="00E3205C"/>
    <w:rsid w:val="00E81249"/>
    <w:rsid w:val="00EA5815"/>
    <w:rsid w:val="00EC4938"/>
    <w:rsid w:val="00FC1DD7"/>
    <w:rsid w:val="00FC3DED"/>
    <w:rsid w:val="00FD2307"/>
    <w:rsid w:val="0165325A"/>
    <w:rsid w:val="0E09464F"/>
    <w:rsid w:val="0E403DF0"/>
    <w:rsid w:val="14B54FB3"/>
    <w:rsid w:val="158702AB"/>
    <w:rsid w:val="1BE74AE9"/>
    <w:rsid w:val="23AE1199"/>
    <w:rsid w:val="26336723"/>
    <w:rsid w:val="27243EE0"/>
    <w:rsid w:val="2AAD28A0"/>
    <w:rsid w:val="2B316687"/>
    <w:rsid w:val="359F165A"/>
    <w:rsid w:val="36075C31"/>
    <w:rsid w:val="3A416385"/>
    <w:rsid w:val="3C0F0526"/>
    <w:rsid w:val="3D7A7FC6"/>
    <w:rsid w:val="3E1F46CA"/>
    <w:rsid w:val="409F41D0"/>
    <w:rsid w:val="423B13C4"/>
    <w:rsid w:val="4C2C7C0F"/>
    <w:rsid w:val="4E1577D7"/>
    <w:rsid w:val="51461F74"/>
    <w:rsid w:val="54C70A51"/>
    <w:rsid w:val="571406EC"/>
    <w:rsid w:val="59ED5D2E"/>
    <w:rsid w:val="5B5906D8"/>
    <w:rsid w:val="5CC140A1"/>
    <w:rsid w:val="5DED0C7E"/>
    <w:rsid w:val="5ED75EB6"/>
    <w:rsid w:val="607E55AF"/>
    <w:rsid w:val="66DC0AFB"/>
    <w:rsid w:val="6B7EBB36"/>
    <w:rsid w:val="6C1738FC"/>
    <w:rsid w:val="6C924135"/>
    <w:rsid w:val="6E255143"/>
    <w:rsid w:val="708465C4"/>
    <w:rsid w:val="724F7D41"/>
    <w:rsid w:val="72EF7CA5"/>
    <w:rsid w:val="76E52970"/>
    <w:rsid w:val="79444A09"/>
    <w:rsid w:val="7ADA685F"/>
    <w:rsid w:val="7B84261D"/>
    <w:rsid w:val="B97DD42C"/>
    <w:rsid w:val="EBF3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spacing w:beforeAutospacing="1" w:afterAutospacing="1"/>
      <w:outlineLvl w:val="3"/>
    </w:pPr>
    <w:rPr>
      <w:rFonts w:hint="eastAsia" w:ascii="宋体" w:hAnsi="宋体" w:eastAsia="宋体" w:cs="Times New Roman"/>
      <w:b/>
      <w:bCs/>
      <w:sz w:val="24"/>
      <w:szCs w:val="24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spacing w:beforeAutospacing="1" w:afterAutospacing="1"/>
      <w:outlineLvl w:val="4"/>
    </w:pPr>
    <w:rPr>
      <w:rFonts w:hint="eastAsia" w:ascii="宋体" w:hAnsi="宋体" w:eastAsia="宋体" w:cs="Times New Roman"/>
      <w:b/>
      <w:bCs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qFormat/>
    <w:uiPriority w:val="0"/>
    <w:rPr>
      <w:color w:val="993300"/>
      <w:sz w:val="24"/>
    </w:r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link w:val="20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character" w:customStyle="1" w:styleId="20">
    <w:name w:val="普通(网站) 字符"/>
    <w:link w:val="12"/>
    <w:qFormat/>
    <w:uiPriority w:val="0"/>
    <w:rPr>
      <w:rFonts w:cs="Times New Roman"/>
      <w:kern w:val="0"/>
      <w:sz w:val="24"/>
      <w:szCs w:val="24"/>
    </w:rPr>
  </w:style>
  <w:style w:type="character" w:customStyle="1" w:styleId="21">
    <w:name w:val="批注框文本 字符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8526ED-42C6-414D-A5E7-F25FBDF8A9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2802</Words>
  <Characters>3131</Characters>
  <Lines>17</Lines>
  <Paragraphs>4</Paragraphs>
  <TotalTime>7</TotalTime>
  <ScaleCrop>false</ScaleCrop>
  <LinksUpToDate>false</LinksUpToDate>
  <CharactersWithSpaces>3188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2026-03-31T14:32:00Z</dcterms:created>
  <dc:creator>dhc_his</dc:creator>
  <cp:lastModifiedBy>陈柯岚</cp:lastModifiedBy>
  <dcterms:modified xsi:type="dcterms:W3CDTF">2026-06-02T08:30:14Z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5B5B5947812A45959DEF0CDF859F3CEB_13</vt:lpwstr>
  </property>
  <property fmtid="{D5CDD505-2E9C-101B-9397-08002B2CF9AE}" pid="4" name="KSOTemplateDocerSaveRecord">
    <vt:lpwstr>eyJoZGlkIjoiNzFlMjMwZGJkMDk0NjRmNTA4MmJkNjU5M2Y3ZjRhZmEiLCJ1c2VySWQiOiIxMDEwNTk2NjIzIn0=</vt:lpwstr>
  </property>
</Properties>
</file>