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10"/>
        </w:tabs>
        <w:spacing w:line="360" w:lineRule="auto"/>
        <w:ind w:right="480" w:rightChars="200"/>
        <w:rPr>
          <w:rFonts w:ascii="方正仿宋_GBK" w:eastAsia="方正仿宋_GBK" w:hAnsiTheme="minorEastAsia"/>
          <w:sz w:val="32"/>
          <w:szCs w:val="32"/>
          <w:lang w:eastAsia="zh-CN"/>
        </w:rPr>
      </w:pPr>
      <w:bookmarkStart w:id="1" w:name="_GoBack"/>
      <w:bookmarkEnd w:id="1"/>
      <w:bookmarkStart w:id="0" w:name="OLE_LINK1"/>
      <w:r>
        <w:rPr>
          <w:rFonts w:hint="eastAsia" w:ascii="方正仿宋_GBK" w:eastAsia="方正仿宋_GBK" w:hAnsiTheme="minorEastAsia"/>
          <w:sz w:val="32"/>
          <w:szCs w:val="32"/>
          <w:lang w:eastAsia="zh-CN"/>
        </w:rPr>
        <w:t>附件1</w:t>
      </w:r>
      <w:r>
        <w:rPr>
          <w:rFonts w:ascii="方正仿宋_GBK" w:eastAsia="方正仿宋_GBK" w:hAnsiTheme="minorEastAsia"/>
          <w:sz w:val="32"/>
          <w:szCs w:val="32"/>
          <w:lang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65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 w:bidi="ar"/>
        </w:rPr>
        <w:t>成都市第二人民医院互联网医院“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一号管三天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 w:bidi="ar"/>
        </w:rPr>
        <w:t>”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诊疗流程改造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 w:bidi="ar"/>
        </w:rPr>
        <w:t>服务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项目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 w:bidi="ar"/>
        </w:rPr>
        <w:t>需求</w:t>
      </w:r>
    </w:p>
    <w:p>
      <w:pPr>
        <w:pStyle w:val="3"/>
        <w:spacing w:before="0" w:beforeAutospacing="0" w:after="0" w:afterAutospacing="0" w:line="360" w:lineRule="auto"/>
        <w:rPr>
          <w:rFonts w:hint="default" w:ascii="黑体" w:hAnsi="黑体" w:eastAsia="黑体"/>
          <w:b w:val="0"/>
          <w:bCs w:val="0"/>
          <w:color w:val="000000"/>
          <w:sz w:val="32"/>
          <w:szCs w:val="32"/>
          <w:lang w:bidi="en-US"/>
        </w:rPr>
      </w:pPr>
      <w:r>
        <w:rPr>
          <w:rFonts w:ascii="黑体" w:hAnsi="黑体" w:eastAsia="黑体"/>
          <w:b w:val="0"/>
          <w:bCs w:val="0"/>
          <w:color w:val="000000"/>
          <w:sz w:val="32"/>
          <w:szCs w:val="32"/>
          <w:lang w:bidi="en-US"/>
        </w:rPr>
        <w:t>一、项目背景：</w:t>
      </w:r>
    </w:p>
    <w:p>
      <w:pPr>
        <w:widowControl/>
        <w:adjustRightInd w:val="0"/>
        <w:snapToGrid w:val="0"/>
        <w:spacing w:line="360" w:lineRule="auto"/>
        <w:ind w:firstLine="640" w:firstLineChars="200"/>
        <w:jc w:val="both"/>
        <w:textAlignment w:val="top"/>
        <w:rPr>
          <w:rFonts w:ascii="方正仿宋_GBK" w:hAnsi="宋体" w:eastAsia="方正仿宋_GBK"/>
          <w:sz w:val="32"/>
          <w:szCs w:val="32"/>
          <w:lang w:eastAsia="zh-CN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互联网医院平台涵盖患者、医生、药师以及医院管理端等多个维度，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具备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以下功能：</w:t>
      </w:r>
    </w:p>
    <w:p>
      <w:pPr>
        <w:widowControl/>
        <w:adjustRightInd w:val="0"/>
        <w:snapToGrid w:val="0"/>
        <w:spacing w:line="360" w:lineRule="auto"/>
        <w:ind w:firstLine="640" w:firstLineChars="200"/>
        <w:jc w:val="both"/>
        <w:textAlignment w:val="top"/>
        <w:rPr>
          <w:rFonts w:ascii="方正仿宋_GBK" w:hAnsi="宋体" w:eastAsia="方正仿宋_GBK"/>
          <w:sz w:val="32"/>
          <w:szCs w:val="32"/>
          <w:lang w:eastAsia="zh-CN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1</w:t>
      </w:r>
      <w:r>
        <w:rPr>
          <w:rFonts w:ascii="方正仿宋_GBK" w:hAnsi="宋体" w:eastAsia="方正仿宋_GBK"/>
          <w:sz w:val="32"/>
          <w:szCs w:val="32"/>
          <w:lang w:eastAsia="zh-CN"/>
        </w:rPr>
        <w:t>.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患者服务平台：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主要通过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微信小程序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实现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挂号、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图文问诊、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和健康档案查询等；</w:t>
      </w:r>
    </w:p>
    <w:p>
      <w:pPr>
        <w:widowControl/>
        <w:adjustRightInd w:val="0"/>
        <w:snapToGrid w:val="0"/>
        <w:spacing w:line="360" w:lineRule="auto"/>
        <w:ind w:firstLine="640" w:firstLineChars="200"/>
        <w:jc w:val="both"/>
        <w:textAlignment w:val="top"/>
        <w:rPr>
          <w:rFonts w:ascii="方正仿宋_GBK" w:hAnsi="宋体" w:eastAsia="方正仿宋_GBK"/>
          <w:sz w:val="32"/>
          <w:szCs w:val="32"/>
          <w:lang w:eastAsia="zh-CN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2</w:t>
      </w:r>
      <w:r>
        <w:rPr>
          <w:rFonts w:ascii="方正仿宋_GBK" w:hAnsi="宋体" w:eastAsia="方正仿宋_GBK"/>
          <w:sz w:val="32"/>
          <w:szCs w:val="32"/>
          <w:lang w:eastAsia="zh-CN"/>
        </w:rPr>
        <w:t>.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医生、药师移动办公平台：包括医生端APP和PC端，药师端APP和PC端，便于医务人员远程处理医疗活动；</w:t>
      </w:r>
    </w:p>
    <w:p>
      <w:pPr>
        <w:widowControl/>
        <w:adjustRightInd w:val="0"/>
        <w:snapToGrid w:val="0"/>
        <w:spacing w:line="360" w:lineRule="auto"/>
        <w:ind w:firstLine="640" w:firstLineChars="200"/>
        <w:jc w:val="both"/>
        <w:textAlignment w:val="top"/>
        <w:rPr>
          <w:rFonts w:ascii="方正仿宋_GBK" w:hAnsi="宋体" w:eastAsia="方正仿宋_GBK"/>
          <w:sz w:val="32"/>
          <w:szCs w:val="32"/>
          <w:lang w:eastAsia="zh-CN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3</w:t>
      </w:r>
      <w:r>
        <w:rPr>
          <w:rFonts w:ascii="方正仿宋_GBK" w:hAnsi="宋体" w:eastAsia="方正仿宋_GBK"/>
          <w:sz w:val="32"/>
          <w:szCs w:val="32"/>
          <w:lang w:eastAsia="zh-CN"/>
        </w:rPr>
        <w:t>.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互联网门诊服务：提供24小时互联网门诊，支持图文、语音、视频复诊及咨询等；</w:t>
      </w:r>
    </w:p>
    <w:p>
      <w:pPr>
        <w:widowControl/>
        <w:adjustRightInd w:val="0"/>
        <w:snapToGrid w:val="0"/>
        <w:spacing w:line="360" w:lineRule="auto"/>
        <w:ind w:firstLine="640" w:firstLineChars="200"/>
        <w:jc w:val="both"/>
        <w:textAlignment w:val="top"/>
        <w:rPr>
          <w:rFonts w:ascii="方正仿宋_GBK" w:hAnsi="宋体" w:eastAsia="方正仿宋_GBK"/>
          <w:sz w:val="32"/>
          <w:szCs w:val="32"/>
          <w:lang w:eastAsia="zh-CN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4</w:t>
      </w:r>
      <w:r>
        <w:rPr>
          <w:rFonts w:ascii="方正仿宋_GBK" w:hAnsi="宋体" w:eastAsia="方正仿宋_GBK"/>
          <w:sz w:val="32"/>
          <w:szCs w:val="32"/>
          <w:lang w:eastAsia="zh-CN"/>
        </w:rPr>
        <w:t>.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药品配送服务：实现电子处方和线上药品配送服务。</w:t>
      </w:r>
    </w:p>
    <w:p>
      <w:pPr>
        <w:pStyle w:val="3"/>
        <w:spacing w:before="0" w:beforeAutospacing="0" w:after="0" w:afterAutospacing="0" w:line="360" w:lineRule="auto"/>
        <w:rPr>
          <w:rFonts w:hint="default" w:ascii="黑体" w:hAnsi="黑体" w:eastAsia="黑体"/>
          <w:b w:val="0"/>
          <w:bCs w:val="0"/>
          <w:color w:val="000000"/>
          <w:sz w:val="32"/>
          <w:szCs w:val="32"/>
          <w:lang w:bidi="en-US"/>
        </w:rPr>
      </w:pPr>
      <w:r>
        <w:rPr>
          <w:rFonts w:ascii="黑体" w:hAnsi="黑体" w:eastAsia="黑体"/>
          <w:b w:val="0"/>
          <w:bCs w:val="0"/>
          <w:color w:val="000000"/>
          <w:sz w:val="32"/>
          <w:szCs w:val="32"/>
          <w:lang w:bidi="en-US"/>
        </w:rPr>
        <w:t>二、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 w:bidi="en-US"/>
        </w:rPr>
        <w:t>“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 w:bidi="en-US"/>
        </w:rPr>
        <w:t>一号管三天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 w:bidi="en-US"/>
        </w:rPr>
        <w:t>”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 w:bidi="en-US"/>
        </w:rPr>
        <w:t>诊疗流程改造</w:t>
      </w:r>
      <w:r>
        <w:rPr>
          <w:rFonts w:ascii="黑体" w:hAnsi="黑体" w:eastAsia="黑体"/>
          <w:b w:val="0"/>
          <w:bCs w:val="0"/>
          <w:color w:val="000000"/>
          <w:sz w:val="32"/>
          <w:szCs w:val="32"/>
          <w:lang w:bidi="en-US"/>
        </w:rPr>
        <w:t>服务需求：</w:t>
      </w:r>
    </w:p>
    <w:p>
      <w:pPr>
        <w:spacing w:line="360" w:lineRule="auto"/>
        <w:ind w:firstLine="640" w:firstLineChars="200"/>
        <w:rPr>
          <w:rFonts w:hint="default" w:ascii="方正仿宋_GBK" w:hAnsi="宋体" w:eastAsia="方正仿宋_GBK"/>
          <w:sz w:val="32"/>
          <w:szCs w:val="32"/>
          <w:lang w:val="en-US" w:eastAsia="zh-CN"/>
        </w:rPr>
      </w:pP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1.“一号管三天”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需求：（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）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在互联网医院小程序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提供“一号管三天”免费专区；（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）该区除医生自主排班外，可由职能管理部门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通过系统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排班；（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）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患者线下就诊（不含专家门诊、多学科联合门诊、特需门诊及急诊）开具检验检查当天未能获取报告的可通过互联网医院图文问诊实现“一号管三天”；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（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）“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一号管三天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”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两种方式挂号，一是主动推送，对满足条件的患者通过服务号推送互联网医院挂号链接；二是患者自行到“一号管三天”免费专区自主挂号，系统判定就诊日内是否符合检验检查报告未出条件，如不符合则挂号不成功，并提示患者，如有进入挂号问诊流程；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（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）“一号管三天”专区按照实际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互联网医院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科室设置，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匹配现有互联网医生，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且实现免费号可开具检验检查医嘱。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br w:type="textWrapping"/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2.改进问诊及部分医嘱流程需求：（1）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改进结束问诊流程，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实现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医生问诊过程中开具药品医嘱后无需结束问诊即可缴费，缴费后仍可保持问诊状态至挂号后72小时，可后续继续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补充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开具医嘱，或由医生同患者确认完成问诊后结束问诊；（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）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改进医生端app无法开具二级菜单医嘱，如开具“彩色多普勒超声检查”医嘱可以选择医嘱的附加信息（二级菜单），选择相应部位进行开具。</w:t>
      </w: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hint="eastAsia" w:ascii="方正仿宋_GBK" w:eastAsia="方正仿宋_GBK" w:hAnsiTheme="minorEastAsia"/>
          <w:sz w:val="32"/>
          <w:szCs w:val="32"/>
          <w:lang w:eastAsia="zh-CN"/>
        </w:rPr>
      </w:pPr>
    </w:p>
    <w:p>
      <w:pPr>
        <w:tabs>
          <w:tab w:val="left" w:pos="2310"/>
        </w:tabs>
        <w:spacing w:line="360" w:lineRule="auto"/>
        <w:ind w:right="480" w:rightChars="200"/>
        <w:rPr>
          <w:rFonts w:ascii="方正仿宋_GBK" w:eastAsia="方正仿宋_GBK" w:hAnsiTheme="minorEastAsia"/>
          <w:sz w:val="32"/>
          <w:szCs w:val="32"/>
          <w:lang w:eastAsia="zh-CN"/>
        </w:rPr>
      </w:pPr>
      <w:r>
        <w:rPr>
          <w:rFonts w:hint="eastAsia" w:ascii="方正仿宋_GBK" w:eastAsia="方正仿宋_GBK" w:hAnsiTheme="minorEastAsia"/>
          <w:sz w:val="32"/>
          <w:szCs w:val="32"/>
          <w:lang w:eastAsia="zh-CN"/>
        </w:rPr>
        <w:t>附件</w:t>
      </w:r>
      <w:r>
        <w:rPr>
          <w:rFonts w:ascii="方正仿宋_GBK" w:eastAsia="方正仿宋_GBK" w:hAnsiTheme="minorEastAsia"/>
          <w:sz w:val="32"/>
          <w:szCs w:val="32"/>
          <w:lang w:eastAsia="zh-CN"/>
        </w:rPr>
        <w:t>2.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650" w:lineRule="exact"/>
        <w:jc w:val="center"/>
        <w:textAlignment w:val="auto"/>
        <w:rPr>
          <w:rFonts w:ascii="方正小标宋_GBK" w:eastAsia="方正小标宋_GBK"/>
          <w:sz w:val="44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 w:bidi="ar"/>
        </w:rPr>
        <w:t>成都市第二人民医院互联网医院“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一号管三天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 w:bidi="ar"/>
        </w:rPr>
        <w:t>”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诊疗流程改造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 w:bidi="ar"/>
        </w:rPr>
        <w:t>服务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项目</w:t>
      </w:r>
      <w:r>
        <w:rPr>
          <w:rFonts w:hint="eastAsia" w:ascii="方正小标宋_GBK" w:eastAsia="方正小标宋_GBK"/>
          <w:sz w:val="44"/>
          <w:szCs w:val="32"/>
          <w:lang w:eastAsia="zh-CN"/>
        </w:rPr>
        <w:t>报价表</w:t>
      </w:r>
    </w:p>
    <w:tbl>
      <w:tblPr>
        <w:tblStyle w:val="11"/>
        <w:tblW w:w="8577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6418"/>
        <w:gridCol w:w="14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lang w:eastAsia="zh-CN" w:bidi="ar-SA"/>
              </w:rPr>
              <w:t>内容</w:t>
            </w:r>
          </w:p>
        </w:tc>
        <w:tc>
          <w:tcPr>
            <w:tcW w:w="6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lang w:val="en-US" w:eastAsia="zh-CN" w:bidi="ar-SA"/>
              </w:rPr>
              <w:t>功能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lang w:eastAsia="zh-CN" w:bidi="ar-SA"/>
              </w:rPr>
              <w:t>单价（万</w:t>
            </w:r>
            <w:r>
              <w:rPr>
                <w:rFonts w:hint="eastAsia" w:ascii="黑体" w:hAnsi="黑体" w:eastAsia="黑体" w:cs="宋体"/>
                <w:lang w:val="en-US" w:eastAsia="zh-CN" w:bidi="ar-SA"/>
              </w:rPr>
              <w:t>元</w:t>
            </w:r>
            <w:r>
              <w:rPr>
                <w:rFonts w:hint="eastAsia" w:ascii="黑体" w:hAnsi="黑体" w:eastAsia="黑体" w:cs="宋体"/>
                <w:lang w:eastAsia="zh-CN" w:bidi="ar-SA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lang w:val="en-US" w:eastAsia="zh-CN" w:bidi="ar-SA"/>
              </w:rPr>
              <w:t>“一号管三天”</w:t>
            </w:r>
            <w:r>
              <w:rPr>
                <w:rFonts w:hint="eastAsia" w:ascii="黑体" w:hAnsi="黑体" w:eastAsia="黑体" w:cs="宋体"/>
                <w:lang w:eastAsia="zh-CN" w:bidi="ar-SA"/>
              </w:rPr>
              <w:t>需求</w:t>
            </w: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="方正仿宋_GBK" w:hAnsi="等线" w:eastAsia="方正仿宋_GBK" w:cs="宋体"/>
                <w:lang w:eastAsia="zh-CN" w:bidi="ar-SA"/>
              </w:rPr>
            </w:pPr>
            <w:r>
              <w:rPr>
                <w:rFonts w:hint="eastAsia" w:ascii="方正仿宋_GBK" w:hAnsi="等线" w:eastAsia="方正仿宋_GBK" w:cs="宋体"/>
                <w:lang w:val="en-US" w:eastAsia="zh-CN" w:bidi="ar-SA"/>
              </w:rPr>
              <w:t>在互联网医院小程序</w:t>
            </w:r>
            <w:r>
              <w:rPr>
                <w:rFonts w:hint="eastAsia" w:ascii="方正仿宋_GBK" w:hAnsi="等线" w:eastAsia="方正仿宋_GBK" w:cs="宋体"/>
                <w:lang w:eastAsia="zh-CN" w:bidi="ar-SA"/>
              </w:rPr>
              <w:t>提供“一号管三天”免费专区</w:t>
            </w:r>
          </w:p>
        </w:tc>
        <w:tc>
          <w:tcPr>
            <w:tcW w:w="14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 w:cs="宋体"/>
                <w:lang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lang w:eastAsia="zh-CN" w:bidi="ar-SA"/>
              </w:rPr>
            </w:pP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K" w:hAnsi="等线" w:eastAsia="方正仿宋_GBK" w:cs="宋体"/>
                <w:lang w:val="en-US" w:eastAsia="zh-CN" w:bidi="ar-SA"/>
              </w:rPr>
            </w:pPr>
            <w:r>
              <w:rPr>
                <w:rFonts w:hint="eastAsia" w:ascii="方正仿宋_GBK" w:hAnsi="等线" w:eastAsia="方正仿宋_GBK" w:cs="宋体"/>
                <w:lang w:val="en-US" w:eastAsia="zh-CN" w:bidi="ar-SA"/>
              </w:rPr>
              <w:t>该区除医生自主排班外，可由职能管理部门通过系统排班</w:t>
            </w: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 w:cs="宋体"/>
                <w:lang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lang w:eastAsia="zh-CN" w:bidi="ar-SA"/>
              </w:rPr>
            </w:pP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K" w:hAnsi="等线" w:eastAsia="方正仿宋_GBK" w:cs="宋体"/>
                <w:lang w:val="en-US" w:eastAsia="zh-CN" w:bidi="ar-SA"/>
              </w:rPr>
            </w:pPr>
            <w:r>
              <w:rPr>
                <w:rFonts w:hint="eastAsia" w:ascii="方正仿宋_GBK" w:hAnsi="等线" w:eastAsia="方正仿宋_GBK" w:cs="宋体"/>
                <w:lang w:val="en-US" w:eastAsia="zh-CN" w:bidi="ar-SA"/>
              </w:rPr>
              <w:t>患者线下就诊（不含专家门诊、多学科联合门诊、特需门诊及急诊）开具检验检查当天未能获取报告的可通过互联网医院图文问诊实现“一号管三天”</w:t>
            </w: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 w:cs="宋体"/>
                <w:lang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lang w:eastAsia="zh-CN" w:bidi="ar-SA"/>
              </w:rPr>
            </w:pP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K" w:hAnsi="等线" w:eastAsia="方正仿宋_GBK" w:cs="宋体"/>
                <w:lang w:val="en-US" w:eastAsia="zh-CN" w:bidi="ar-SA"/>
              </w:rPr>
            </w:pPr>
            <w:r>
              <w:rPr>
                <w:rFonts w:hint="eastAsia" w:ascii="方正仿宋_GBK" w:hAnsi="等线" w:eastAsia="方正仿宋_GBK" w:cs="宋体"/>
                <w:lang w:val="en-US" w:eastAsia="zh-CN" w:bidi="ar-SA"/>
              </w:rPr>
              <w:t>“一号管三天”两种方式挂号，一是主动推送，对满足条件的患者通过服务号推送互联网医院挂号链接；二是患者自行到“一号管三天”免费专区自主挂号，系统判定就诊日内是否符合检验检查报告未出条件，如不符合则挂号不成功，并提示患者，如有进入挂号问诊流程</w:t>
            </w: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 w:cs="宋体"/>
                <w:lang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lang w:eastAsia="zh-CN" w:bidi="ar-SA"/>
              </w:rPr>
            </w:pP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K" w:hAnsi="等线" w:eastAsia="方正仿宋_GBK" w:cs="宋体"/>
                <w:lang w:val="en-US" w:eastAsia="zh-CN" w:bidi="ar-SA"/>
              </w:rPr>
            </w:pPr>
            <w:r>
              <w:rPr>
                <w:rFonts w:hint="eastAsia" w:ascii="方正仿宋_GBK" w:hAnsi="等线" w:eastAsia="方正仿宋_GBK" w:cs="宋体"/>
                <w:lang w:val="en-US" w:eastAsia="zh-CN" w:bidi="ar-SA"/>
              </w:rPr>
              <w:t>“一号管三天”专区按照实际互联网医院科室设置，匹配现有互联网医生，且实现免费号可开具检验检查医嘱</w:t>
            </w: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 w:cs="宋体"/>
                <w:lang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lang w:val="en-US" w:eastAsia="zh-CN" w:bidi="ar-SA"/>
              </w:rPr>
              <w:t>改进问诊及部分医嘱流程需求</w:t>
            </w: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K" w:hAnsi="等线" w:eastAsia="方正仿宋_GBK" w:cs="宋体"/>
                <w:lang w:val="en-US" w:eastAsia="zh-CN" w:bidi="ar-SA"/>
              </w:rPr>
            </w:pPr>
            <w:r>
              <w:rPr>
                <w:rFonts w:hint="eastAsia" w:ascii="方正仿宋_GBK" w:hAnsi="等线" w:eastAsia="方正仿宋_GBK" w:cs="宋体"/>
                <w:lang w:val="en-US" w:eastAsia="zh-CN" w:bidi="ar-SA"/>
              </w:rPr>
              <w:t>改进结束问诊流程，医生问诊过程中开具药品医嘱后无需结束问诊即可缴费，缴费后仍可保持问诊状态至挂号后72小时，可后续继续补充开具医嘱，或由医生同患者确认完成问诊后结束问诊</w:t>
            </w:r>
          </w:p>
        </w:tc>
        <w:tc>
          <w:tcPr>
            <w:tcW w:w="14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仿宋_GBK" w:hAnsi="等线" w:eastAsia="方正仿宋_GBK" w:cs="宋体"/>
                <w:lang w:eastAsia="zh-CN" w:bidi="ar-SA"/>
              </w:rPr>
            </w:pPr>
            <w:r>
              <w:rPr>
                <w:rFonts w:hint="eastAsia" w:ascii="方正仿宋_GBK" w:hAnsi="等线" w:eastAsia="方正仿宋_GBK" w:cs="宋体"/>
                <w:lang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lang w:eastAsia="zh-CN" w:bidi="ar-SA"/>
              </w:rPr>
            </w:pP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K" w:hAnsi="等线" w:eastAsia="方正仿宋_GBK" w:cs="宋体"/>
                <w:lang w:val="en-US" w:eastAsia="zh-CN" w:bidi="ar-SA"/>
              </w:rPr>
            </w:pPr>
            <w:r>
              <w:rPr>
                <w:rFonts w:hint="eastAsia" w:ascii="方正仿宋_GBK" w:hAnsi="等线" w:eastAsia="方正仿宋_GBK" w:cs="宋体"/>
                <w:lang w:val="en-US" w:eastAsia="zh-CN" w:bidi="ar-SA"/>
              </w:rPr>
              <w:t>改进医生端app无法开具二级菜单医嘱</w:t>
            </w: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方正仿宋_GBK" w:hAnsi="等线" w:eastAsia="方正仿宋_GBK" w:cs="宋体"/>
                <w:lang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K" w:hAnsi="等线" w:eastAsia="方正仿宋_GBK" w:cs="宋体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lang w:val="en-US" w:eastAsia="zh-CN" w:bidi="ar-SA"/>
              </w:rPr>
              <w:t>合计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方正仿宋_GBK" w:hAnsi="等线" w:eastAsia="方正仿宋_GBK" w:cs="宋体"/>
                <w:lang w:eastAsia="zh-CN" w:bidi="ar-SA"/>
              </w:rPr>
            </w:pPr>
          </w:p>
        </w:tc>
      </w:tr>
    </w:tbl>
    <w:p>
      <w:pPr>
        <w:rPr>
          <w:rFonts w:hint="default" w:asciiTheme="minorEastAsia" w:hAnsiTheme="minorEastAsia" w:eastAsiaTheme="minorEastAsia"/>
          <w:lang w:val="en-US" w:eastAsia="zh-CN"/>
        </w:rPr>
      </w:pPr>
    </w:p>
    <w:p>
      <w:pPr>
        <w:rPr>
          <w:rFonts w:asciiTheme="minorEastAsia" w:hAnsiTheme="minorEastAsia" w:eastAsiaTheme="minorEastAsia"/>
          <w:lang w:eastAsia="zh-CN"/>
        </w:rPr>
      </w:pPr>
    </w:p>
    <w:p>
      <w:pPr>
        <w:ind w:firstLine="4160" w:firstLineChars="1300"/>
        <w:rPr>
          <w:rFonts w:ascii="方正仿宋_GBK" w:hAnsi="宋体" w:eastAsia="方正仿宋_GBK"/>
          <w:sz w:val="32"/>
          <w:szCs w:val="32"/>
          <w:lang w:eastAsia="zh-CN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报价单位（盖章）：</w:t>
      </w:r>
    </w:p>
    <w:p>
      <w:pPr>
        <w:ind w:firstLine="4160" w:firstLineChars="1300"/>
        <w:rPr>
          <w:rFonts w:ascii="方正仿宋_GBK" w:hAnsi="宋体" w:eastAsia="方正仿宋_GBK"/>
          <w:sz w:val="32"/>
          <w:szCs w:val="32"/>
          <w:lang w:eastAsia="zh-CN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报价日期：2</w:t>
      </w:r>
      <w:r>
        <w:rPr>
          <w:rFonts w:ascii="方正仿宋_GBK" w:hAnsi="宋体" w:eastAsia="方正仿宋_GBK"/>
          <w:sz w:val="32"/>
          <w:szCs w:val="32"/>
          <w:lang w:eastAsia="zh-CN"/>
        </w:rPr>
        <w:t>02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年**月**日</w:t>
      </w:r>
    </w:p>
    <w:p>
      <w:pPr>
        <w:tabs>
          <w:tab w:val="left" w:pos="2310"/>
        </w:tabs>
        <w:spacing w:line="360" w:lineRule="auto"/>
        <w:ind w:right="480" w:rightChars="200"/>
        <w:jc w:val="right"/>
        <w:rPr>
          <w:rFonts w:ascii="方正仿宋_GBK" w:hAnsi="宋体" w:eastAsia="方正仿宋_GBK"/>
          <w:sz w:val="32"/>
          <w:szCs w:val="32"/>
          <w:lang w:eastAsia="zh-CN"/>
        </w:rPr>
      </w:pPr>
    </w:p>
    <w:bookmarkEnd w:id="0"/>
    <w:p>
      <w:pPr>
        <w:tabs>
          <w:tab w:val="left" w:pos="2310"/>
        </w:tabs>
        <w:spacing w:line="360" w:lineRule="auto"/>
        <w:ind w:right="480" w:rightChars="200"/>
        <w:jc w:val="right"/>
        <w:rPr>
          <w:rFonts w:ascii="方正仿宋_GBK" w:hAnsi="宋体" w:eastAsia="方正仿宋_GBK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xN2M4ODE3NjNiYzNiZDIxZjFiMDJiYjUxYTgwZGYifQ=="/>
  </w:docVars>
  <w:rsids>
    <w:rsidRoot w:val="00D8346E"/>
    <w:rsid w:val="00017FF1"/>
    <w:rsid w:val="00071782"/>
    <w:rsid w:val="000A19E3"/>
    <w:rsid w:val="000C2A2E"/>
    <w:rsid w:val="0017467F"/>
    <w:rsid w:val="001B6770"/>
    <w:rsid w:val="001C54CE"/>
    <w:rsid w:val="001D3AA8"/>
    <w:rsid w:val="001E3720"/>
    <w:rsid w:val="002750C0"/>
    <w:rsid w:val="002F4CA3"/>
    <w:rsid w:val="00320E9F"/>
    <w:rsid w:val="003334E1"/>
    <w:rsid w:val="003B6551"/>
    <w:rsid w:val="003C4B27"/>
    <w:rsid w:val="0044558B"/>
    <w:rsid w:val="00453CF0"/>
    <w:rsid w:val="004F31F4"/>
    <w:rsid w:val="00571B22"/>
    <w:rsid w:val="00591B3D"/>
    <w:rsid w:val="00685E59"/>
    <w:rsid w:val="006A614A"/>
    <w:rsid w:val="006D1550"/>
    <w:rsid w:val="006D5382"/>
    <w:rsid w:val="00714BE3"/>
    <w:rsid w:val="0071764D"/>
    <w:rsid w:val="007F0CA5"/>
    <w:rsid w:val="008153B6"/>
    <w:rsid w:val="008430D3"/>
    <w:rsid w:val="00A42544"/>
    <w:rsid w:val="00A45E4A"/>
    <w:rsid w:val="00AA5BFD"/>
    <w:rsid w:val="00AF3816"/>
    <w:rsid w:val="00B6242B"/>
    <w:rsid w:val="00C40D1A"/>
    <w:rsid w:val="00CA75C1"/>
    <w:rsid w:val="00D20BCB"/>
    <w:rsid w:val="00D53686"/>
    <w:rsid w:val="00D8346E"/>
    <w:rsid w:val="00D836D3"/>
    <w:rsid w:val="00DD7F31"/>
    <w:rsid w:val="00E277C4"/>
    <w:rsid w:val="00EB1B66"/>
    <w:rsid w:val="00ED36FC"/>
    <w:rsid w:val="00F263F6"/>
    <w:rsid w:val="00F41CA1"/>
    <w:rsid w:val="00F46C2F"/>
    <w:rsid w:val="00FC6A2D"/>
    <w:rsid w:val="171C6B53"/>
    <w:rsid w:val="25A66E4C"/>
    <w:rsid w:val="39533938"/>
    <w:rsid w:val="50C62129"/>
    <w:rsid w:val="58CB50FD"/>
    <w:rsid w:val="613A0C15"/>
    <w:rsid w:val="79F6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40" w:after="330" w:line="576" w:lineRule="auto"/>
      <w:jc w:val="both"/>
      <w:outlineLvl w:val="0"/>
    </w:pPr>
    <w:rPr>
      <w:rFonts w:ascii="Calibri" w:hAnsi="Calibri" w:eastAsia="宋体"/>
      <w:b/>
      <w:color w:val="auto"/>
      <w:kern w:val="44"/>
      <w:sz w:val="44"/>
      <w:lang w:eastAsia="zh-CN" w:bidi="ar-SA"/>
    </w:rPr>
  </w:style>
  <w:style w:type="paragraph" w:styleId="3">
    <w:name w:val="heading 2"/>
    <w:basedOn w:val="1"/>
    <w:next w:val="1"/>
    <w:link w:val="18"/>
    <w:qFormat/>
    <w:uiPriority w:val="0"/>
    <w:pPr>
      <w:spacing w:before="100" w:beforeAutospacing="1" w:after="100" w:afterAutospacing="1"/>
      <w:outlineLvl w:val="1"/>
    </w:pPr>
    <w:rPr>
      <w:rFonts w:hint="eastAsia" w:ascii="宋体" w:hAnsi="宋体" w:eastAsia="宋体"/>
      <w:b/>
      <w:bCs/>
      <w:color w:val="auto"/>
      <w:sz w:val="36"/>
      <w:szCs w:val="36"/>
      <w:lang w:eastAsia="zh-CN" w:bidi="ar-SA"/>
    </w:rPr>
  </w:style>
  <w:style w:type="paragraph" w:styleId="4">
    <w:name w:val="heading 4"/>
    <w:basedOn w:val="1"/>
    <w:next w:val="1"/>
    <w:link w:val="19"/>
    <w:qFormat/>
    <w:uiPriority w:val="9"/>
    <w:pPr>
      <w:keepNext/>
      <w:widowControl/>
      <w:spacing w:before="240" w:after="60"/>
      <w:ind w:left="864" w:hanging="864"/>
      <w:outlineLvl w:val="3"/>
    </w:pPr>
    <w:rPr>
      <w:rFonts w:ascii="Calibri" w:hAnsi="Calibri" w:eastAsia="宋体"/>
      <w:b/>
      <w:bCs/>
      <w:color w:val="auto"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link w:val="20"/>
    <w:unhideWhenUsed/>
    <w:qFormat/>
    <w:uiPriority w:val="99"/>
    <w:pPr>
      <w:spacing w:after="120"/>
      <w:jc w:val="both"/>
    </w:pPr>
    <w:rPr>
      <w:rFonts w:ascii="Calibri" w:hAnsi="Calibri" w:eastAsia="宋体"/>
      <w:color w:val="auto"/>
      <w:kern w:val="2"/>
      <w:sz w:val="21"/>
      <w:lang w:eastAsia="zh-CN" w:bidi="ar-SA"/>
    </w:rPr>
  </w:style>
  <w:style w:type="paragraph" w:styleId="6">
    <w:name w:val="Plain Text"/>
    <w:basedOn w:val="1"/>
    <w:link w:val="15"/>
    <w:qFormat/>
    <w:uiPriority w:val="0"/>
    <w:rPr>
      <w:rFonts w:ascii="宋体" w:hAnsi="Courier New"/>
    </w:rPr>
  </w:style>
  <w:style w:type="paragraph" w:styleId="7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3">
    <w:name w:val="页眉 字符"/>
    <w:basedOn w:val="12"/>
    <w:link w:val="10"/>
    <w:qFormat/>
    <w:uiPriority w:val="99"/>
    <w:rPr>
      <w:sz w:val="18"/>
      <w:szCs w:val="18"/>
    </w:rPr>
  </w:style>
  <w:style w:type="character" w:customStyle="1" w:styleId="14">
    <w:name w:val="页脚 字符"/>
    <w:basedOn w:val="12"/>
    <w:link w:val="9"/>
    <w:qFormat/>
    <w:uiPriority w:val="99"/>
    <w:rPr>
      <w:sz w:val="18"/>
      <w:szCs w:val="18"/>
    </w:rPr>
  </w:style>
  <w:style w:type="character" w:customStyle="1" w:styleId="15">
    <w:name w:val="纯文本 字符"/>
    <w:basedOn w:val="12"/>
    <w:link w:val="6"/>
    <w:qFormat/>
    <w:uiPriority w:val="0"/>
    <w:rPr>
      <w:rFonts w:ascii="宋体" w:hAnsi="Courier New" w:eastAsia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16">
    <w:name w:val="日期 字符"/>
    <w:basedOn w:val="12"/>
    <w:link w:val="7"/>
    <w:semiHidden/>
    <w:qFormat/>
    <w:uiPriority w:val="99"/>
    <w:rPr>
      <w:rFonts w:ascii="Times New Roman" w:hAnsi="Times New Roman" w:eastAsia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17">
    <w:name w:val="标题 1 字符"/>
    <w:basedOn w:val="12"/>
    <w:link w:val="2"/>
    <w:qFormat/>
    <w:uiPriority w:val="0"/>
    <w:rPr>
      <w:rFonts w:ascii="Calibri" w:hAnsi="Calibri" w:eastAsia="宋体" w:cs="Times New Roman"/>
      <w:b/>
      <w:kern w:val="44"/>
      <w:sz w:val="44"/>
      <w:szCs w:val="24"/>
    </w:rPr>
  </w:style>
  <w:style w:type="character" w:customStyle="1" w:styleId="18">
    <w:name w:val="标题 2 字符"/>
    <w:basedOn w:val="12"/>
    <w:link w:val="3"/>
    <w:qFormat/>
    <w:uiPriority w:val="0"/>
    <w:rPr>
      <w:rFonts w:ascii="宋体" w:hAnsi="宋体" w:eastAsia="宋体" w:cs="Times New Roman"/>
      <w:b/>
      <w:bCs/>
      <w:kern w:val="0"/>
      <w:sz w:val="36"/>
      <w:szCs w:val="36"/>
    </w:rPr>
  </w:style>
  <w:style w:type="character" w:customStyle="1" w:styleId="19">
    <w:name w:val="标题 4 字符"/>
    <w:basedOn w:val="12"/>
    <w:link w:val="4"/>
    <w:qFormat/>
    <w:uiPriority w:val="9"/>
    <w:rPr>
      <w:rFonts w:ascii="Calibri" w:hAnsi="Calibri" w:eastAsia="宋体" w:cs="Times New Roman"/>
      <w:b/>
      <w:bCs/>
      <w:kern w:val="0"/>
      <w:sz w:val="28"/>
      <w:szCs w:val="28"/>
      <w:lang w:eastAsia="en-US" w:bidi="en-US"/>
    </w:rPr>
  </w:style>
  <w:style w:type="character" w:customStyle="1" w:styleId="20">
    <w:name w:val="正文文本 字符"/>
    <w:basedOn w:val="12"/>
    <w:link w:val="5"/>
    <w:qFormat/>
    <w:uiPriority w:val="99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12"/>
    <w:link w:val="8"/>
    <w:semiHidden/>
    <w:qFormat/>
    <w:uiPriority w:val="99"/>
    <w:rPr>
      <w:rFonts w:ascii="Times New Roman" w:hAnsi="Times New Roman" w:eastAsia="Times New Roman" w:cs="Times New Roman"/>
      <w:color w:val="000000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1739</Words>
  <Characters>1815</Characters>
  <Lines>26</Lines>
  <Paragraphs>7</Paragraphs>
  <TotalTime>11</TotalTime>
  <ScaleCrop>false</ScaleCrop>
  <LinksUpToDate>false</LinksUpToDate>
  <CharactersWithSpaces>1822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2024-04-16T02:53:00Z</dcterms:created>
  <dc:creator>cdeyy</dc:creator>
  <cp:lastModifiedBy>张笑菲</cp:lastModifiedBy>
  <cp:lastPrinted>2024-04-23T08:20:00Z</cp:lastPrinted>
  <dcterms:modified xsi:type="dcterms:W3CDTF">2026-05-31T12:55:23Z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8D1863BEED5B41E8832B23FD5D9F6769</vt:lpwstr>
  </property>
</Properties>
</file>