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20D04">
      <w:pPr>
        <w:spacing w:line="43" w:lineRule="exact"/>
      </w:pPr>
    </w:p>
    <w:tbl>
      <w:tblPr>
        <w:tblStyle w:val="9"/>
        <w:tblW w:w="852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940"/>
        <w:gridCol w:w="6833"/>
      </w:tblGrid>
      <w:tr w14:paraId="7B90E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8527" w:type="dxa"/>
            <w:gridSpan w:val="3"/>
            <w:vAlign w:val="top"/>
          </w:tcPr>
          <w:p w14:paraId="166E6B08">
            <w:pPr>
              <w:jc w:val="center"/>
              <w:rPr>
                <w:rFonts w:ascii="Arial"/>
                <w:sz w:val="21"/>
              </w:rPr>
            </w:pPr>
            <w:r>
              <w:rPr>
                <w:b/>
                <w:bCs/>
                <w:spacing w:val="-4"/>
                <w:sz w:val="45"/>
                <w:szCs w:val="45"/>
              </w:rPr>
              <w:t>需求清单</w:t>
            </w:r>
          </w:p>
        </w:tc>
      </w:tr>
      <w:tr w14:paraId="30486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54" w:type="dxa"/>
            <w:vAlign w:val="top"/>
          </w:tcPr>
          <w:p w14:paraId="5484E65D">
            <w:pPr>
              <w:pStyle w:val="10"/>
              <w:spacing w:before="171" w:line="221" w:lineRule="auto"/>
              <w:ind w:left="145"/>
            </w:pPr>
            <w:r>
              <w:rPr>
                <w:spacing w:val="6"/>
              </w:rPr>
              <w:t>序号</w:t>
            </w:r>
          </w:p>
        </w:tc>
        <w:tc>
          <w:tcPr>
            <w:tcW w:w="940" w:type="dxa"/>
            <w:vAlign w:val="top"/>
          </w:tcPr>
          <w:p w14:paraId="49D0998C">
            <w:pPr>
              <w:pStyle w:val="10"/>
              <w:spacing w:before="170" w:line="219" w:lineRule="auto"/>
              <w:ind w:left="101"/>
            </w:pPr>
            <w:r>
              <w:rPr>
                <w:spacing w:val="-2"/>
              </w:rPr>
              <w:t>服务名称</w:t>
            </w:r>
          </w:p>
        </w:tc>
        <w:tc>
          <w:tcPr>
            <w:tcW w:w="6833" w:type="dxa"/>
            <w:vAlign w:val="top"/>
          </w:tcPr>
          <w:p w14:paraId="04985911">
            <w:pPr>
              <w:pStyle w:val="10"/>
              <w:spacing w:before="170" w:line="219" w:lineRule="auto"/>
              <w:jc w:val="center"/>
              <w:rPr>
                <w:rFonts w:ascii="Arial"/>
                <w:sz w:val="21"/>
              </w:rPr>
            </w:pPr>
            <w:r>
              <w:rPr>
                <w:spacing w:val="-2"/>
                <w:lang w:val="en-US" w:eastAsia="en-US"/>
              </w:rPr>
              <w:t>参数</w:t>
            </w:r>
          </w:p>
        </w:tc>
      </w:tr>
      <w:tr w14:paraId="2BE0A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1" w:hRule="atLeast"/>
        </w:trPr>
        <w:tc>
          <w:tcPr>
            <w:tcW w:w="754" w:type="dxa"/>
            <w:vAlign w:val="top"/>
          </w:tcPr>
          <w:p w14:paraId="7AD8F8FC">
            <w:pPr>
              <w:spacing w:line="245" w:lineRule="auto"/>
              <w:rPr>
                <w:rFonts w:ascii="Arial"/>
                <w:sz w:val="21"/>
              </w:rPr>
            </w:pPr>
          </w:p>
          <w:p w14:paraId="32493E2A">
            <w:pPr>
              <w:spacing w:line="245" w:lineRule="auto"/>
              <w:rPr>
                <w:rFonts w:ascii="Arial"/>
                <w:sz w:val="21"/>
              </w:rPr>
            </w:pPr>
          </w:p>
          <w:p w14:paraId="6A765C27">
            <w:pPr>
              <w:spacing w:line="245" w:lineRule="auto"/>
              <w:rPr>
                <w:rFonts w:ascii="Arial"/>
                <w:sz w:val="21"/>
              </w:rPr>
            </w:pPr>
          </w:p>
          <w:p w14:paraId="473771D1">
            <w:pPr>
              <w:spacing w:line="246" w:lineRule="auto"/>
              <w:rPr>
                <w:rFonts w:ascii="Arial"/>
                <w:sz w:val="21"/>
              </w:rPr>
            </w:pPr>
          </w:p>
          <w:p w14:paraId="1BCBDBD1">
            <w:pPr>
              <w:spacing w:line="246" w:lineRule="auto"/>
              <w:rPr>
                <w:rFonts w:ascii="Arial"/>
                <w:sz w:val="21"/>
              </w:rPr>
            </w:pPr>
          </w:p>
          <w:p w14:paraId="78000A7C">
            <w:pPr>
              <w:spacing w:line="246" w:lineRule="auto"/>
              <w:rPr>
                <w:rFonts w:ascii="Arial"/>
                <w:sz w:val="21"/>
              </w:rPr>
            </w:pPr>
          </w:p>
          <w:p w14:paraId="08A9650C">
            <w:pPr>
              <w:spacing w:line="246" w:lineRule="auto"/>
              <w:rPr>
                <w:rFonts w:ascii="Arial"/>
                <w:sz w:val="21"/>
              </w:rPr>
            </w:pPr>
          </w:p>
          <w:p w14:paraId="04295790">
            <w:pPr>
              <w:spacing w:line="246" w:lineRule="auto"/>
              <w:rPr>
                <w:rFonts w:ascii="Arial"/>
                <w:sz w:val="21"/>
              </w:rPr>
            </w:pPr>
          </w:p>
          <w:p w14:paraId="729A3048">
            <w:pPr>
              <w:spacing w:line="246" w:lineRule="auto"/>
              <w:rPr>
                <w:rFonts w:ascii="Arial"/>
                <w:sz w:val="21"/>
              </w:rPr>
            </w:pPr>
          </w:p>
          <w:p w14:paraId="295246A2">
            <w:pPr>
              <w:spacing w:line="246" w:lineRule="auto"/>
              <w:rPr>
                <w:rFonts w:ascii="Arial"/>
                <w:sz w:val="21"/>
              </w:rPr>
            </w:pPr>
          </w:p>
          <w:p w14:paraId="44459133">
            <w:pPr>
              <w:spacing w:line="246" w:lineRule="auto"/>
              <w:rPr>
                <w:rFonts w:ascii="Arial"/>
                <w:sz w:val="21"/>
              </w:rPr>
            </w:pPr>
          </w:p>
          <w:p w14:paraId="2A139A1B">
            <w:pPr>
              <w:spacing w:line="246" w:lineRule="auto"/>
              <w:rPr>
                <w:rFonts w:ascii="Arial"/>
                <w:sz w:val="21"/>
              </w:rPr>
            </w:pPr>
          </w:p>
          <w:p w14:paraId="7D0CEECF">
            <w:pPr>
              <w:spacing w:line="246" w:lineRule="auto"/>
              <w:rPr>
                <w:rFonts w:ascii="Arial"/>
                <w:sz w:val="21"/>
              </w:rPr>
            </w:pPr>
          </w:p>
          <w:p w14:paraId="652F08DE">
            <w:pPr>
              <w:spacing w:line="246" w:lineRule="auto"/>
              <w:rPr>
                <w:rFonts w:ascii="Arial"/>
                <w:sz w:val="21"/>
              </w:rPr>
            </w:pPr>
          </w:p>
          <w:p w14:paraId="7A7A7289">
            <w:pPr>
              <w:spacing w:line="246" w:lineRule="auto"/>
              <w:rPr>
                <w:rFonts w:ascii="Arial"/>
                <w:sz w:val="21"/>
              </w:rPr>
            </w:pPr>
          </w:p>
          <w:p w14:paraId="6C6245D6">
            <w:pPr>
              <w:spacing w:line="246" w:lineRule="auto"/>
              <w:rPr>
                <w:rFonts w:ascii="Arial"/>
                <w:sz w:val="21"/>
              </w:rPr>
            </w:pPr>
          </w:p>
          <w:p w14:paraId="66ED6F68">
            <w:pPr>
              <w:spacing w:line="246" w:lineRule="auto"/>
              <w:rPr>
                <w:rFonts w:ascii="Arial"/>
                <w:sz w:val="21"/>
              </w:rPr>
            </w:pPr>
          </w:p>
          <w:p w14:paraId="00ADFA8C">
            <w:pPr>
              <w:spacing w:line="246" w:lineRule="auto"/>
              <w:rPr>
                <w:rFonts w:ascii="Arial"/>
                <w:sz w:val="21"/>
              </w:rPr>
            </w:pPr>
          </w:p>
          <w:p w14:paraId="5264E523">
            <w:pPr>
              <w:spacing w:line="246" w:lineRule="auto"/>
              <w:rPr>
                <w:rFonts w:ascii="Arial"/>
                <w:sz w:val="21"/>
              </w:rPr>
            </w:pPr>
          </w:p>
          <w:p w14:paraId="0F29A72E">
            <w:pPr>
              <w:spacing w:line="246" w:lineRule="auto"/>
              <w:rPr>
                <w:rFonts w:ascii="Arial"/>
                <w:sz w:val="21"/>
              </w:rPr>
            </w:pPr>
          </w:p>
          <w:p w14:paraId="558046AB">
            <w:pPr>
              <w:spacing w:line="246" w:lineRule="auto"/>
              <w:rPr>
                <w:rFonts w:ascii="Arial"/>
                <w:sz w:val="21"/>
              </w:rPr>
            </w:pPr>
          </w:p>
          <w:p w14:paraId="0F4F2BCB">
            <w:pPr>
              <w:spacing w:line="246" w:lineRule="auto"/>
              <w:rPr>
                <w:rFonts w:ascii="Arial"/>
                <w:sz w:val="21"/>
              </w:rPr>
            </w:pPr>
          </w:p>
          <w:p w14:paraId="1BE3BB8C">
            <w:pPr>
              <w:spacing w:line="246" w:lineRule="auto"/>
              <w:rPr>
                <w:rFonts w:ascii="Arial"/>
                <w:sz w:val="21"/>
              </w:rPr>
            </w:pPr>
          </w:p>
          <w:p w14:paraId="515DC492">
            <w:pPr>
              <w:pStyle w:val="10"/>
              <w:spacing w:before="72" w:line="241" w:lineRule="auto"/>
              <w:ind w:left="315"/>
            </w:pPr>
            <w:r>
              <w:t>1</w:t>
            </w:r>
          </w:p>
        </w:tc>
        <w:tc>
          <w:tcPr>
            <w:tcW w:w="940" w:type="dxa"/>
            <w:vAlign w:val="top"/>
          </w:tcPr>
          <w:p w14:paraId="4A3DAAB3">
            <w:pPr>
              <w:spacing w:line="247" w:lineRule="auto"/>
              <w:rPr>
                <w:rFonts w:ascii="Arial"/>
                <w:sz w:val="21"/>
              </w:rPr>
            </w:pPr>
          </w:p>
          <w:p w14:paraId="5E73C2C9">
            <w:pPr>
              <w:spacing w:line="247" w:lineRule="auto"/>
              <w:rPr>
                <w:rFonts w:ascii="Arial"/>
                <w:sz w:val="21"/>
              </w:rPr>
            </w:pPr>
          </w:p>
          <w:p w14:paraId="3DF40ABB">
            <w:pPr>
              <w:spacing w:line="247" w:lineRule="auto"/>
              <w:rPr>
                <w:rFonts w:ascii="Arial"/>
                <w:sz w:val="21"/>
              </w:rPr>
            </w:pPr>
          </w:p>
          <w:p w14:paraId="3F97F787">
            <w:pPr>
              <w:spacing w:line="247" w:lineRule="auto"/>
              <w:rPr>
                <w:rFonts w:ascii="Arial"/>
                <w:sz w:val="21"/>
              </w:rPr>
            </w:pPr>
          </w:p>
          <w:p w14:paraId="459D01FC">
            <w:pPr>
              <w:spacing w:line="247" w:lineRule="auto"/>
              <w:rPr>
                <w:rFonts w:ascii="Arial"/>
                <w:sz w:val="21"/>
              </w:rPr>
            </w:pPr>
          </w:p>
          <w:p w14:paraId="359FC687">
            <w:pPr>
              <w:spacing w:line="247" w:lineRule="auto"/>
              <w:rPr>
                <w:rFonts w:ascii="Arial"/>
                <w:sz w:val="21"/>
              </w:rPr>
            </w:pPr>
          </w:p>
          <w:p w14:paraId="7C3F79C3">
            <w:pPr>
              <w:spacing w:line="248" w:lineRule="auto"/>
              <w:rPr>
                <w:rFonts w:ascii="Arial"/>
                <w:sz w:val="21"/>
              </w:rPr>
            </w:pPr>
          </w:p>
          <w:p w14:paraId="51D7681C">
            <w:pPr>
              <w:spacing w:line="248" w:lineRule="auto"/>
              <w:rPr>
                <w:rFonts w:ascii="Arial"/>
                <w:sz w:val="21"/>
              </w:rPr>
            </w:pPr>
          </w:p>
          <w:p w14:paraId="66F34F79">
            <w:pPr>
              <w:spacing w:line="248" w:lineRule="auto"/>
              <w:rPr>
                <w:rFonts w:ascii="Arial"/>
                <w:sz w:val="21"/>
              </w:rPr>
            </w:pPr>
          </w:p>
          <w:p w14:paraId="6781BB5C">
            <w:pPr>
              <w:spacing w:line="248" w:lineRule="auto"/>
              <w:rPr>
                <w:rFonts w:ascii="Arial"/>
                <w:sz w:val="21"/>
              </w:rPr>
            </w:pPr>
          </w:p>
          <w:p w14:paraId="6B984FA7">
            <w:pPr>
              <w:spacing w:line="248" w:lineRule="auto"/>
              <w:rPr>
                <w:rFonts w:ascii="Arial"/>
                <w:sz w:val="21"/>
              </w:rPr>
            </w:pPr>
          </w:p>
          <w:p w14:paraId="423112D4">
            <w:pPr>
              <w:spacing w:line="248" w:lineRule="auto"/>
              <w:rPr>
                <w:rFonts w:ascii="Arial"/>
                <w:sz w:val="21"/>
              </w:rPr>
            </w:pPr>
          </w:p>
          <w:p w14:paraId="61EA1600">
            <w:pPr>
              <w:spacing w:line="248" w:lineRule="auto"/>
              <w:rPr>
                <w:rFonts w:ascii="Arial"/>
                <w:sz w:val="21"/>
              </w:rPr>
            </w:pPr>
          </w:p>
          <w:p w14:paraId="3A994C28">
            <w:pPr>
              <w:spacing w:line="248" w:lineRule="auto"/>
              <w:rPr>
                <w:rFonts w:ascii="Arial"/>
                <w:sz w:val="21"/>
              </w:rPr>
            </w:pPr>
          </w:p>
          <w:p w14:paraId="3C980910">
            <w:pPr>
              <w:spacing w:line="248" w:lineRule="auto"/>
              <w:rPr>
                <w:rFonts w:ascii="Arial"/>
                <w:sz w:val="21"/>
              </w:rPr>
            </w:pPr>
          </w:p>
          <w:p w14:paraId="65EA8327">
            <w:pPr>
              <w:spacing w:line="248" w:lineRule="auto"/>
              <w:rPr>
                <w:rFonts w:ascii="Arial"/>
                <w:sz w:val="21"/>
              </w:rPr>
            </w:pPr>
          </w:p>
          <w:p w14:paraId="00A26E6C">
            <w:pPr>
              <w:pStyle w:val="10"/>
              <w:spacing w:before="14" w:line="219" w:lineRule="auto"/>
              <w:ind w:left="101"/>
            </w:pPr>
            <w:r>
              <w:rPr>
                <w:spacing w:val="4"/>
              </w:rPr>
              <w:t>市科技局</w:t>
            </w:r>
            <w:r>
              <w:rPr>
                <w:spacing w:val="2"/>
              </w:rPr>
              <w:t xml:space="preserve"> </w:t>
            </w:r>
            <w:r>
              <w:rPr>
                <w:spacing w:val="-2"/>
              </w:rPr>
              <w:t>课题《</w:t>
            </w:r>
            <w:r>
              <w:rPr>
                <w:rFonts w:hint="eastAsia"/>
                <w:spacing w:val="4"/>
                <w:lang w:val="en-US" w:eastAsia="zh-CN"/>
              </w:rPr>
              <w:t>国产单孔机器人直肠癌手术中智能化识别与反馈导航技术研究及应用示范</w:t>
            </w:r>
            <w:r>
              <w:rPr>
                <w:spacing w:val="4"/>
              </w:rPr>
              <w:t>》</w:t>
            </w:r>
            <w:r>
              <w:rPr>
                <w:spacing w:val="-6"/>
              </w:rPr>
              <w:t>人工</w:t>
            </w:r>
            <w:r>
              <w:rPr>
                <w:rFonts w:hint="eastAsia"/>
                <w:spacing w:val="-6"/>
                <w:lang w:val="en-US" w:eastAsia="zh-CN"/>
              </w:rPr>
              <w:t>智能</w:t>
            </w:r>
            <w:r>
              <w:rPr>
                <w:spacing w:val="-10"/>
              </w:rPr>
              <w:t>模型</w:t>
            </w:r>
            <w:r>
              <w:rPr>
                <w:rFonts w:hint="eastAsia"/>
                <w:spacing w:val="4"/>
                <w:lang w:val="en-US" w:eastAsia="zh-CN"/>
              </w:rPr>
              <w:t>构建</w:t>
            </w:r>
            <w:r>
              <w:rPr>
                <w:spacing w:val="4"/>
              </w:rPr>
              <w:t xml:space="preserve"> 服务</w:t>
            </w:r>
          </w:p>
        </w:tc>
        <w:tc>
          <w:tcPr>
            <w:tcW w:w="6833" w:type="dxa"/>
            <w:vAlign w:val="top"/>
          </w:tcPr>
          <w:p w14:paraId="57D9D748">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b/>
                <w:bCs/>
                <w:color w:val="000000"/>
                <w:sz w:val="24"/>
                <w:szCs w:val="24"/>
                <w:lang w:val="en-US" w:eastAsia="zh-CN"/>
              </w:rPr>
            </w:pPr>
            <w:r>
              <w:rPr>
                <w:rFonts w:hint="eastAsia"/>
                <w:b/>
                <w:bCs/>
                <w:color w:val="000000"/>
                <w:sz w:val="24"/>
                <w:szCs w:val="24"/>
                <w:lang w:val="en-US" w:eastAsia="zh-CN"/>
              </w:rPr>
              <w:t>目的：</w:t>
            </w:r>
          </w:p>
          <w:p w14:paraId="1DB4B57D">
            <w:pPr>
              <w:numPr>
                <w:ilvl w:val="0"/>
                <w:numId w:val="0"/>
              </w:numPr>
              <w:ind w:firstLine="480" w:firstLineChars="200"/>
              <w:jc w:val="both"/>
              <w:rPr>
                <w:rFonts w:hint="eastAsia" w:ascii="宋体" w:hAnsi="宋体" w:eastAsia="宋体" w:cs="宋体"/>
                <w:sz w:val="24"/>
                <w:szCs w:val="24"/>
                <w:lang w:val="en-US" w:eastAsia="zh-CN"/>
              </w:rPr>
            </w:pPr>
            <w:r>
              <w:rPr>
                <w:rFonts w:ascii="宋体" w:hAnsi="宋体" w:eastAsia="宋体" w:cs="宋体"/>
                <w:sz w:val="24"/>
                <w:szCs w:val="24"/>
              </w:rPr>
              <w:t>基于CNN 算法，利用国产单孔机器人手术实时图像 + 4K 高清腹腔镜实时图像整合迁移学习，研发7 类关键解剖结构智能识别模块，实现肠系膜下动脉、左结肠动脉、第 3 骶椎、输尿管、肿瘤、骶前筋膜、直肠骶骨韧带的精准定位、自动标注、实时预警</w:t>
            </w:r>
            <w:r>
              <w:rPr>
                <w:rFonts w:hint="eastAsia" w:ascii="宋体" w:hAnsi="宋体" w:eastAsia="宋体" w:cs="宋体"/>
                <w:sz w:val="24"/>
                <w:szCs w:val="24"/>
                <w:lang w:eastAsia="zh-CN"/>
              </w:rPr>
              <w:t>。</w:t>
            </w:r>
          </w:p>
          <w:p w14:paraId="61BE7F49">
            <w:pPr>
              <w:numPr>
                <w:ilvl w:val="0"/>
                <w:numId w:val="1"/>
              </w:numPr>
              <w:ind w:left="0" w:leftChars="0" w:firstLine="0" w:firstLineChars="0"/>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bCs/>
                <w:snapToGrid w:val="0"/>
                <w:color w:val="000000"/>
                <w:kern w:val="0"/>
                <w:sz w:val="24"/>
                <w:szCs w:val="24"/>
                <w:lang w:val="en-US" w:eastAsia="zh-CN" w:bidi="ar"/>
              </w:rPr>
              <w:t>中标公司主要任务</w:t>
            </w:r>
            <w:r>
              <w:rPr>
                <w:rFonts w:hint="eastAsia" w:ascii="宋体" w:hAnsi="宋体" w:eastAsia="宋体" w:cs="宋体"/>
                <w:b w:val="0"/>
                <w:bCs w:val="0"/>
                <w:snapToGrid w:val="0"/>
                <w:color w:val="000000"/>
                <w:kern w:val="0"/>
                <w:sz w:val="24"/>
                <w:szCs w:val="24"/>
                <w:lang w:val="en-US" w:eastAsia="zh-CN" w:bidi="ar"/>
              </w:rPr>
              <w:t>：</w:t>
            </w:r>
          </w:p>
          <w:p w14:paraId="48297BC4">
            <w:pPr>
              <w:numPr>
                <w:ilvl w:val="0"/>
                <w:numId w:val="0"/>
              </w:numPr>
              <w:ind w:firstLine="480" w:firstLineChars="200"/>
              <w:rPr>
                <w:rFonts w:hint="eastAsia" w:eastAsia="宋体"/>
                <w:b w:val="0"/>
                <w:bCs w:val="0"/>
                <w:color w:val="000000"/>
                <w:sz w:val="24"/>
                <w:szCs w:val="24"/>
                <w:lang w:eastAsia="zh-CN"/>
              </w:rPr>
            </w:pPr>
            <w:r>
              <w:rPr>
                <w:rFonts w:ascii="宋体" w:hAnsi="宋体" w:eastAsia="宋体" w:cs="宋体"/>
                <w:sz w:val="24"/>
                <w:szCs w:val="24"/>
              </w:rPr>
              <w:t>对医院提供的40 例单孔机器人手术视频 + 1</w:t>
            </w:r>
            <w:r>
              <w:rPr>
                <w:rFonts w:hint="eastAsia" w:ascii="宋体" w:hAnsi="宋体" w:eastAsia="宋体" w:cs="宋体"/>
                <w:sz w:val="24"/>
                <w:szCs w:val="24"/>
                <w:lang w:val="en-US" w:eastAsia="zh-CN"/>
              </w:rPr>
              <w:t>2</w:t>
            </w:r>
            <w:r>
              <w:rPr>
                <w:rFonts w:ascii="宋体" w:hAnsi="宋体" w:eastAsia="宋体" w:cs="宋体"/>
                <w:sz w:val="24"/>
                <w:szCs w:val="24"/>
              </w:rPr>
              <w:t>3 例 4K 腹腔镜手术视频 + 术前 CT/MRI 影像进行 7 类关键解剖结构精准标注；完成CNN 模型训练、优化与迭代，确保单类结构识别率≥96%；开发实时识别预警 + 离线视频自动标注 + 动态路径规划模块；协助完成10 例 AI 辅助机器人手术临床验证与数据统计</w:t>
            </w:r>
            <w:r>
              <w:rPr>
                <w:b w:val="0"/>
                <w:bCs w:val="0"/>
                <w:color w:val="000000"/>
                <w:sz w:val="24"/>
                <w:szCs w:val="24"/>
              </w:rPr>
              <w:t>与</w:t>
            </w:r>
            <w:r>
              <w:rPr>
                <w:rFonts w:hint="eastAsia" w:eastAsia="宋体"/>
                <w:b w:val="0"/>
                <w:bCs w:val="0"/>
                <w:color w:val="000000"/>
                <w:sz w:val="24"/>
                <w:szCs w:val="24"/>
                <w:lang w:val="en-US" w:eastAsia="zh-CN"/>
              </w:rPr>
              <w:t>并协助支持</w:t>
            </w:r>
            <w:r>
              <w:rPr>
                <w:b w:val="0"/>
                <w:bCs w:val="0"/>
                <w:color w:val="000000"/>
                <w:sz w:val="24"/>
                <w:szCs w:val="24"/>
              </w:rPr>
              <w:t>转化</w:t>
            </w:r>
            <w:r>
              <w:rPr>
                <w:rFonts w:hint="eastAsia" w:eastAsia="宋体"/>
                <w:b w:val="0"/>
                <w:bCs w:val="0"/>
                <w:color w:val="000000"/>
                <w:sz w:val="24"/>
                <w:szCs w:val="24"/>
                <w:lang w:val="en-US" w:eastAsia="zh-CN"/>
              </w:rPr>
              <w:t>工作</w:t>
            </w:r>
            <w:r>
              <w:rPr>
                <w:rFonts w:hint="eastAsia" w:eastAsia="宋体"/>
                <w:b w:val="0"/>
                <w:bCs w:val="0"/>
                <w:color w:val="000000"/>
                <w:sz w:val="24"/>
                <w:szCs w:val="24"/>
                <w:lang w:eastAsia="zh-CN"/>
              </w:rPr>
              <w:t>。</w:t>
            </w:r>
          </w:p>
          <w:p w14:paraId="31035112">
            <w:pPr>
              <w:numPr>
                <w:ilvl w:val="0"/>
                <w:numId w:val="0"/>
              </w:numPr>
              <w:rPr>
                <w:rFonts w:hint="eastAsia" w:eastAsia="宋体"/>
                <w:b w:val="0"/>
                <w:bCs w:val="0"/>
                <w:color w:val="000000"/>
                <w:sz w:val="24"/>
                <w:szCs w:val="24"/>
                <w:lang w:val="en-US" w:eastAsia="zh-CN"/>
              </w:rPr>
            </w:pPr>
          </w:p>
          <w:p w14:paraId="3A1476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b w:val="0"/>
                <w:bCs w:val="0"/>
                <w:color w:val="000000"/>
                <w:sz w:val="24"/>
                <w:szCs w:val="24"/>
                <w:lang w:val="en-US" w:eastAsia="zh-CN"/>
              </w:rPr>
            </w:pPr>
            <w:r>
              <w:rPr>
                <w:rFonts w:hint="eastAsia"/>
                <w:b w:val="0"/>
                <w:bCs w:val="0"/>
                <w:color w:val="000000"/>
                <w:sz w:val="24"/>
                <w:szCs w:val="24"/>
                <w:lang w:val="en-US" w:eastAsia="zh-CN"/>
              </w:rPr>
              <w:t>三．</w:t>
            </w:r>
            <w:r>
              <w:rPr>
                <w:rFonts w:hint="eastAsia"/>
                <w:b/>
                <w:bCs/>
                <w:color w:val="000000"/>
                <w:sz w:val="24"/>
                <w:szCs w:val="24"/>
                <w:lang w:val="en-US" w:eastAsia="zh-CN"/>
              </w:rPr>
              <w:t>中标公司</w:t>
            </w:r>
            <w:r>
              <w:rPr>
                <w:b/>
                <w:bCs/>
                <w:color w:val="000000"/>
                <w:sz w:val="24"/>
                <w:szCs w:val="24"/>
              </w:rPr>
              <w:t>科研服务技术参数</w:t>
            </w:r>
            <w:r>
              <w:rPr>
                <w:rFonts w:hint="eastAsia"/>
                <w:b/>
                <w:bCs/>
                <w:color w:val="000000"/>
                <w:sz w:val="24"/>
                <w:szCs w:val="24"/>
                <w:lang w:val="en-US" w:eastAsia="zh-CN"/>
              </w:rPr>
              <w:t>主要要求如下：</w:t>
            </w:r>
          </w:p>
          <w:p w14:paraId="2C850FBF">
            <w:pPr>
              <w:rPr>
                <w:rFonts w:hint="default"/>
                <w:lang w:val="en-US" w:eastAsia="zh-CN"/>
              </w:rPr>
            </w:pPr>
          </w:p>
          <w:p w14:paraId="11F7AE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b w:val="0"/>
                <w:bCs w:val="0"/>
                <w:color w:val="000000"/>
                <w:sz w:val="24"/>
                <w:szCs w:val="24"/>
              </w:rPr>
            </w:pPr>
            <w:r>
              <w:rPr>
                <w:rFonts w:hint="eastAsia"/>
                <w:b w:val="0"/>
                <w:bCs w:val="0"/>
                <w:spacing w:val="-3"/>
                <w:lang w:val="en-US" w:eastAsia="zh-CN"/>
              </w:rPr>
              <w:t>1.</w:t>
            </w:r>
            <w:r>
              <w:rPr>
                <w:b w:val="0"/>
                <w:bCs w:val="0"/>
                <w:color w:val="000000"/>
                <w:sz w:val="24"/>
                <w:szCs w:val="24"/>
              </w:rPr>
              <w:t>数据处理与标注服务参数</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73"/>
              <w:gridCol w:w="1560"/>
              <w:gridCol w:w="3684"/>
            </w:tblGrid>
            <w:tr w14:paraId="1F137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1228" w:type="dxa"/>
                  <w:shd w:val="clear" w:color="auto" w:fill="auto"/>
                  <w:vAlign w:val="center"/>
                </w:tcPr>
                <w:p w14:paraId="5FED79B4">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服务类别</w:t>
                  </w:r>
                </w:p>
              </w:tc>
              <w:tc>
                <w:tcPr>
                  <w:tcW w:w="1530" w:type="dxa"/>
                  <w:shd w:val="clear" w:color="auto" w:fill="auto"/>
                  <w:vAlign w:val="center"/>
                </w:tcPr>
                <w:p w14:paraId="0DA4C6C2">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具体参数要求</w:t>
                  </w:r>
                </w:p>
              </w:tc>
              <w:tc>
                <w:tcPr>
                  <w:tcW w:w="3639" w:type="dxa"/>
                  <w:shd w:val="clear" w:color="auto" w:fill="auto"/>
                  <w:vAlign w:val="center"/>
                </w:tcPr>
                <w:p w14:paraId="14C2A1A1">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量化指标</w:t>
                  </w:r>
                </w:p>
              </w:tc>
            </w:tr>
            <w:tr w14:paraId="2EAB9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28" w:type="dxa"/>
                  <w:shd w:val="clear" w:color="auto" w:fill="auto"/>
                  <w:vAlign w:val="center"/>
                </w:tcPr>
                <w:p w14:paraId="7012F52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数据接收与标准化</w:t>
                  </w:r>
                </w:p>
              </w:tc>
              <w:tc>
                <w:tcPr>
                  <w:tcW w:w="1530" w:type="dxa"/>
                  <w:shd w:val="clear" w:color="auto" w:fill="auto"/>
                  <w:vAlign w:val="center"/>
                </w:tcPr>
                <w:p w14:paraId="411E3A4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支持数据格式</w:t>
                  </w:r>
                </w:p>
              </w:tc>
              <w:tc>
                <w:tcPr>
                  <w:tcW w:w="3639" w:type="dxa"/>
                  <w:shd w:val="clear" w:color="auto" w:fill="auto"/>
                  <w:vAlign w:val="center"/>
                </w:tcPr>
                <w:p w14:paraId="685FAEC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兼容 DICOM、MP4 等主流医疗影像 / 视频格式，适配术前影像学、术中录制视频、术后病理关联数据</w:t>
                  </w:r>
                  <w:r>
                    <w:rPr>
                      <w:rFonts w:hint="eastAsia" w:ascii="宋体" w:hAnsi="宋体" w:eastAsia="宋体" w:cs="宋体"/>
                      <w:color w:val="000000"/>
                      <w:kern w:val="0"/>
                      <w:sz w:val="24"/>
                      <w:szCs w:val="24"/>
                      <w:lang w:val="en-US" w:eastAsia="zh-CN" w:bidi="ar"/>
                    </w:rPr>
                    <w:t>。</w:t>
                  </w:r>
                </w:p>
              </w:tc>
            </w:tr>
            <w:tr w14:paraId="63E16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28" w:type="dxa"/>
                  <w:shd w:val="clear" w:color="auto" w:fill="auto"/>
                  <w:vAlign w:val="center"/>
                </w:tcPr>
                <w:p w14:paraId="7D2D0216">
                  <w:pPr>
                    <w:rPr>
                      <w:rFonts w:hint="eastAsia" w:ascii="宋体"/>
                      <w:color w:val="000000"/>
                      <w:sz w:val="24"/>
                      <w:szCs w:val="24"/>
                    </w:rPr>
                  </w:pPr>
                </w:p>
              </w:tc>
              <w:tc>
                <w:tcPr>
                  <w:tcW w:w="1530" w:type="dxa"/>
                  <w:shd w:val="clear" w:color="auto" w:fill="auto"/>
                  <w:vAlign w:val="center"/>
                </w:tcPr>
                <w:p w14:paraId="41DEFE2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数据质量控制</w:t>
                  </w:r>
                </w:p>
              </w:tc>
              <w:tc>
                <w:tcPr>
                  <w:tcW w:w="3639" w:type="dxa"/>
                  <w:shd w:val="clear" w:color="auto" w:fill="auto"/>
                  <w:vAlign w:val="center"/>
                </w:tcPr>
                <w:p w14:paraId="4EA1F3F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剔除完全模糊、无关键结构的无效视频，数据可用率≥95%；完成格式统一、病例信息结构化关联</w:t>
                  </w:r>
                  <w:r>
                    <w:rPr>
                      <w:rFonts w:hint="eastAsia" w:ascii="宋体" w:hAnsi="宋体" w:eastAsia="宋体" w:cs="宋体"/>
                      <w:color w:val="000000"/>
                      <w:kern w:val="0"/>
                      <w:sz w:val="24"/>
                      <w:szCs w:val="24"/>
                      <w:lang w:val="en-US" w:eastAsia="zh-CN" w:bidi="ar"/>
                    </w:rPr>
                    <w:t>。</w:t>
                  </w:r>
                </w:p>
              </w:tc>
            </w:tr>
            <w:tr w14:paraId="6CF3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28" w:type="dxa"/>
                  <w:shd w:val="clear" w:color="auto" w:fill="auto"/>
                  <w:vAlign w:val="center"/>
                </w:tcPr>
                <w:p w14:paraId="78D58DBA">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关键解剖结构标注（训练集）</w:t>
                  </w:r>
                </w:p>
              </w:tc>
              <w:tc>
                <w:tcPr>
                  <w:tcW w:w="1530" w:type="dxa"/>
                  <w:shd w:val="clear" w:color="auto" w:fill="auto"/>
                  <w:vAlign w:val="center"/>
                </w:tcPr>
                <w:p w14:paraId="5AE38D7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标注对象</w:t>
                  </w:r>
                </w:p>
              </w:tc>
              <w:tc>
                <w:tcPr>
                  <w:tcW w:w="3639" w:type="dxa"/>
                  <w:shd w:val="clear" w:color="auto" w:fill="auto"/>
                  <w:vAlign w:val="center"/>
                </w:tcPr>
                <w:p w14:paraId="476F5935">
                  <w:pPr>
                    <w:keepNext w:val="0"/>
                    <w:keepLines w:val="0"/>
                    <w:widowControl/>
                    <w:suppressLineNumbers w:val="0"/>
                    <w:spacing w:before="0" w:beforeAutospacing="0" w:after="0" w:afterAutospacing="0" w:line="360" w:lineRule="atLeast"/>
                    <w:ind w:left="0" w:right="0"/>
                    <w:jc w:val="left"/>
                    <w:rPr>
                      <w:rFonts w:hint="eastAsia" w:eastAsia="宋体"/>
                      <w:color w:val="000000"/>
                      <w:sz w:val="24"/>
                      <w:szCs w:val="24"/>
                      <w:lang w:eastAsia="zh-CN"/>
                    </w:rPr>
                  </w:pPr>
                  <w:r>
                    <w:rPr>
                      <w:rFonts w:hint="eastAsia" w:ascii="宋体" w:hAnsi="宋体" w:eastAsia="宋体" w:cs="宋体"/>
                      <w:color w:val="000000"/>
                      <w:kern w:val="0"/>
                      <w:sz w:val="24"/>
                      <w:szCs w:val="24"/>
                      <w:lang w:val="en-US" w:eastAsia="zh-CN" w:bidi="ar"/>
                    </w:rPr>
                    <w:t>初定：</w:t>
                  </w:r>
                  <w:r>
                    <w:rPr>
                      <w:rFonts w:ascii="宋体" w:hAnsi="宋体" w:eastAsia="宋体" w:cs="宋体"/>
                      <w:color w:val="000000"/>
                      <w:kern w:val="0"/>
                      <w:sz w:val="24"/>
                      <w:szCs w:val="24"/>
                      <w:lang w:val="en-US" w:eastAsia="zh-CN" w:bidi="ar"/>
                    </w:rPr>
                    <w:t>肠系膜下动脉、左结肠动脉、第 3 骶椎、输尿管、肿瘤、骶前筋膜、直肠骶骨韧带（7 类）</w:t>
                  </w:r>
                  <w:r>
                    <w:rPr>
                      <w:rFonts w:hint="eastAsia" w:ascii="宋体" w:hAnsi="宋体" w:eastAsia="宋体" w:cs="宋体"/>
                      <w:color w:val="000000"/>
                      <w:kern w:val="0"/>
                      <w:sz w:val="24"/>
                      <w:szCs w:val="24"/>
                      <w:lang w:val="en-US" w:eastAsia="zh-CN" w:bidi="ar"/>
                    </w:rPr>
                    <w:t>；</w:t>
                  </w:r>
                  <w:r>
                    <w:rPr>
                      <w:rFonts w:ascii="宋体" w:hAnsi="宋体" w:eastAsia="宋体" w:cs="宋体"/>
                      <w:sz w:val="24"/>
                      <w:szCs w:val="24"/>
                    </w:rPr>
                    <w:t>每类结构≥23 例验证样本，总样本≥163 例（含 1% 脱落率）</w:t>
                  </w:r>
                  <w:r>
                    <w:rPr>
                      <w:rFonts w:hint="eastAsia" w:ascii="宋体" w:hAnsi="宋体" w:eastAsia="宋体" w:cs="宋体"/>
                      <w:sz w:val="24"/>
                      <w:szCs w:val="24"/>
                      <w:lang w:eastAsia="zh-CN"/>
                    </w:rPr>
                    <w:t>。</w:t>
                  </w:r>
                </w:p>
              </w:tc>
            </w:tr>
            <w:tr w14:paraId="01506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28" w:type="dxa"/>
                  <w:shd w:val="clear" w:color="auto" w:fill="auto"/>
                  <w:vAlign w:val="center"/>
                </w:tcPr>
                <w:p w14:paraId="60547989">
                  <w:pPr>
                    <w:rPr>
                      <w:rFonts w:hint="eastAsia" w:ascii="宋体"/>
                      <w:color w:val="000000"/>
                      <w:sz w:val="24"/>
                      <w:szCs w:val="24"/>
                    </w:rPr>
                  </w:pPr>
                </w:p>
              </w:tc>
              <w:tc>
                <w:tcPr>
                  <w:tcW w:w="1530" w:type="dxa"/>
                  <w:shd w:val="clear" w:color="auto" w:fill="auto"/>
                  <w:vAlign w:val="center"/>
                </w:tcPr>
                <w:p w14:paraId="0D2BC245">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标注精度</w:t>
                  </w:r>
                </w:p>
              </w:tc>
              <w:tc>
                <w:tcPr>
                  <w:tcW w:w="3639" w:type="dxa"/>
                  <w:shd w:val="clear" w:color="auto" w:fill="auto"/>
                  <w:vAlign w:val="center"/>
                </w:tcPr>
                <w:p w14:paraId="1197F75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sz w:val="24"/>
                      <w:szCs w:val="24"/>
                    </w:rPr>
                    <w:t>逐帧精准标注，满足 AI 训练要求</w:t>
                  </w:r>
                  <w:r>
                    <w:rPr>
                      <w:rFonts w:hint="eastAsia" w:ascii="宋体" w:hAnsi="宋体" w:eastAsia="宋体" w:cs="宋体"/>
                      <w:sz w:val="24"/>
                      <w:szCs w:val="24"/>
                      <w:lang w:eastAsia="zh-CN"/>
                    </w:rPr>
                    <w:t>，</w:t>
                  </w:r>
                  <w:r>
                    <w:rPr>
                      <w:rFonts w:ascii="宋体" w:hAnsi="宋体" w:eastAsia="宋体" w:cs="宋体"/>
                      <w:color w:val="000000"/>
                      <w:kern w:val="0"/>
                      <w:sz w:val="24"/>
                      <w:szCs w:val="24"/>
                      <w:lang w:val="en-US" w:eastAsia="zh-CN" w:bidi="ar"/>
                    </w:rPr>
                    <w:t>解剖结构边界误差≤2mm；与临床专家金标准对比，标注一致性≥90%</w:t>
                  </w:r>
                  <w:r>
                    <w:rPr>
                      <w:rFonts w:hint="eastAsia" w:ascii="宋体" w:hAnsi="宋体" w:eastAsia="宋体" w:cs="宋体"/>
                      <w:color w:val="000000"/>
                      <w:kern w:val="0"/>
                      <w:sz w:val="24"/>
                      <w:szCs w:val="24"/>
                      <w:lang w:val="en-US" w:eastAsia="zh-CN" w:bidi="ar"/>
                    </w:rPr>
                    <w:t>。</w:t>
                  </w:r>
                </w:p>
              </w:tc>
            </w:tr>
            <w:tr w14:paraId="56B06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28" w:type="dxa"/>
                  <w:shd w:val="clear" w:color="auto" w:fill="auto"/>
                  <w:vAlign w:val="center"/>
                </w:tcPr>
                <w:p w14:paraId="105CB476">
                  <w:pPr>
                    <w:rPr>
                      <w:rFonts w:hint="eastAsia" w:ascii="宋体"/>
                      <w:color w:val="000000"/>
                      <w:sz w:val="24"/>
                      <w:szCs w:val="24"/>
                    </w:rPr>
                  </w:pPr>
                </w:p>
              </w:tc>
              <w:tc>
                <w:tcPr>
                  <w:tcW w:w="1530" w:type="dxa"/>
                  <w:shd w:val="clear" w:color="auto" w:fill="auto"/>
                  <w:vAlign w:val="center"/>
                </w:tcPr>
                <w:p w14:paraId="38D12FF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审核要求</w:t>
                  </w:r>
                </w:p>
              </w:tc>
              <w:tc>
                <w:tcPr>
                  <w:tcW w:w="3639" w:type="dxa"/>
                  <w:shd w:val="clear" w:color="auto" w:fill="auto"/>
                  <w:vAlign w:val="center"/>
                </w:tcPr>
                <w:p w14:paraId="4E0D96C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sz w:val="24"/>
                      <w:szCs w:val="24"/>
                    </w:rPr>
                    <w:t>提供数据清洗、去重、脱敏、格式统一与质量验收报告</w:t>
                  </w:r>
                  <w:r>
                    <w:rPr>
                      <w:rFonts w:hint="eastAsia" w:ascii="宋体" w:hAnsi="宋体" w:eastAsia="宋体" w:cs="宋体"/>
                      <w:sz w:val="24"/>
                      <w:szCs w:val="24"/>
                      <w:lang w:eastAsia="zh-CN"/>
                    </w:rPr>
                    <w:t>；</w:t>
                  </w:r>
                  <w:r>
                    <w:rPr>
                      <w:rFonts w:ascii="宋体" w:hAnsi="宋体" w:eastAsia="宋体" w:cs="宋体"/>
                      <w:color w:val="000000"/>
                      <w:kern w:val="0"/>
                      <w:sz w:val="24"/>
                      <w:szCs w:val="24"/>
                      <w:lang w:val="en-US" w:eastAsia="zh-CN" w:bidi="ar"/>
                    </w:rPr>
                    <w:t>标注成果经主研单位临床专家审核通过，修改响应时间≤3 个工作日</w:t>
                  </w:r>
                  <w:r>
                    <w:rPr>
                      <w:rFonts w:hint="eastAsia" w:ascii="宋体" w:hAnsi="宋体" w:eastAsia="宋体" w:cs="宋体"/>
                      <w:color w:val="000000"/>
                      <w:kern w:val="0"/>
                      <w:sz w:val="24"/>
                      <w:szCs w:val="24"/>
                      <w:lang w:val="en-US" w:eastAsia="zh-CN" w:bidi="ar"/>
                    </w:rPr>
                    <w:t>。</w:t>
                  </w:r>
                </w:p>
              </w:tc>
            </w:tr>
            <w:tr w14:paraId="08627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28" w:type="dxa"/>
                  <w:shd w:val="clear" w:color="auto" w:fill="auto"/>
                  <w:vAlign w:val="center"/>
                </w:tcPr>
                <w:p w14:paraId="0807B59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影像数据库构建</w:t>
                  </w:r>
                </w:p>
              </w:tc>
              <w:tc>
                <w:tcPr>
                  <w:tcW w:w="1530" w:type="dxa"/>
                  <w:shd w:val="clear" w:color="auto" w:fill="auto"/>
                  <w:vAlign w:val="center"/>
                </w:tcPr>
                <w:p w14:paraId="2AA24AF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功能要求</w:t>
                  </w:r>
                </w:p>
              </w:tc>
              <w:tc>
                <w:tcPr>
                  <w:tcW w:w="3639" w:type="dxa"/>
                  <w:shd w:val="clear" w:color="auto" w:fill="auto"/>
                  <w:vAlign w:val="center"/>
                </w:tcPr>
                <w:p w14:paraId="3E613B9B">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支持按病例编号、手术类型、解剖结构类型多维度检索；支持批量导出视频及标注文件</w:t>
                  </w:r>
                  <w:r>
                    <w:rPr>
                      <w:rFonts w:hint="eastAsia" w:ascii="宋体" w:hAnsi="宋体" w:eastAsia="宋体" w:cs="宋体"/>
                      <w:color w:val="000000"/>
                      <w:kern w:val="0"/>
                      <w:sz w:val="24"/>
                      <w:szCs w:val="24"/>
                      <w:lang w:val="en-US" w:eastAsia="zh-CN" w:bidi="ar"/>
                    </w:rPr>
                    <w:t>。</w:t>
                  </w:r>
                </w:p>
              </w:tc>
            </w:tr>
            <w:tr w14:paraId="22CAD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28" w:type="dxa"/>
                  <w:shd w:val="clear" w:color="auto" w:fill="auto"/>
                  <w:vAlign w:val="center"/>
                </w:tcPr>
                <w:p w14:paraId="1F77972F">
                  <w:pPr>
                    <w:rPr>
                      <w:rFonts w:hint="eastAsia" w:ascii="宋体"/>
                      <w:color w:val="000000"/>
                      <w:sz w:val="24"/>
                      <w:szCs w:val="24"/>
                    </w:rPr>
                  </w:pPr>
                </w:p>
              </w:tc>
              <w:tc>
                <w:tcPr>
                  <w:tcW w:w="1530" w:type="dxa"/>
                  <w:shd w:val="clear" w:color="auto" w:fill="auto"/>
                  <w:vAlign w:val="center"/>
                </w:tcPr>
                <w:p w14:paraId="08D96B1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稳定性</w:t>
                  </w:r>
                </w:p>
              </w:tc>
              <w:tc>
                <w:tcPr>
                  <w:tcW w:w="3639" w:type="dxa"/>
                  <w:shd w:val="clear" w:color="auto" w:fill="auto"/>
                  <w:vAlign w:val="center"/>
                </w:tcPr>
                <w:p w14:paraId="6A4B5F2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数据库运行稳定性≥99.9%，数据存储符合《医疗数据安全指南》</w:t>
                  </w:r>
                </w:p>
              </w:tc>
            </w:tr>
          </w:tbl>
          <w:p w14:paraId="6FD2FA8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b w:val="0"/>
                <w:bCs w:val="0"/>
                <w:color w:val="000000"/>
                <w:sz w:val="24"/>
                <w:szCs w:val="24"/>
              </w:rPr>
            </w:pPr>
            <w:r>
              <w:rPr>
                <w:rFonts w:hint="eastAsia"/>
                <w:b w:val="0"/>
                <w:bCs w:val="0"/>
                <w:color w:val="000000"/>
                <w:sz w:val="24"/>
                <w:szCs w:val="24"/>
                <w:lang w:val="en-US" w:eastAsia="zh-CN"/>
              </w:rPr>
              <w:t>2.</w:t>
            </w:r>
            <w:r>
              <w:rPr>
                <w:b w:val="0"/>
                <w:bCs w:val="0"/>
                <w:color w:val="000000"/>
                <w:sz w:val="24"/>
                <w:szCs w:val="24"/>
              </w:rPr>
              <w:t>AI 模型开发与优化服务参数</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43"/>
              <w:gridCol w:w="1380"/>
              <w:gridCol w:w="3880"/>
            </w:tblGrid>
            <w:tr w14:paraId="03ABD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tblCellSpacing w:w="15" w:type="dxa"/>
              </w:trPr>
              <w:tc>
                <w:tcPr>
                  <w:tcW w:w="1198" w:type="dxa"/>
                  <w:shd w:val="clear" w:color="auto" w:fill="auto"/>
                  <w:vAlign w:val="center"/>
                </w:tcPr>
                <w:p w14:paraId="5F5609CC">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服务类别</w:t>
                  </w:r>
                </w:p>
              </w:tc>
              <w:tc>
                <w:tcPr>
                  <w:tcW w:w="1350" w:type="dxa"/>
                  <w:shd w:val="clear" w:color="auto" w:fill="auto"/>
                  <w:vAlign w:val="center"/>
                </w:tcPr>
                <w:p w14:paraId="6430819C">
                  <w:pPr>
                    <w:keepNext w:val="0"/>
                    <w:keepLines w:val="0"/>
                    <w:widowControl/>
                    <w:suppressLineNumbers w:val="0"/>
                    <w:spacing w:before="0" w:beforeAutospacing="0" w:after="0" w:afterAutospacing="0" w:line="360" w:lineRule="atLeast"/>
                    <w:ind w:left="0" w:right="0"/>
                    <w:jc w:val="center"/>
                    <w:rPr>
                      <w:rFonts w:ascii="宋体" w:hAnsi="宋体" w:eastAsia="宋体" w:cs="宋体"/>
                      <w:b w:val="0"/>
                      <w:bCs w:val="0"/>
                      <w:color w:val="000000"/>
                      <w:kern w:val="0"/>
                      <w:sz w:val="24"/>
                      <w:szCs w:val="24"/>
                      <w:lang w:val="en-US" w:eastAsia="zh-CN" w:bidi="ar"/>
                    </w:rPr>
                  </w:pPr>
                  <w:r>
                    <w:rPr>
                      <w:rFonts w:ascii="宋体" w:hAnsi="宋体" w:eastAsia="宋体" w:cs="宋体"/>
                      <w:b w:val="0"/>
                      <w:bCs w:val="0"/>
                      <w:color w:val="000000"/>
                      <w:kern w:val="0"/>
                      <w:sz w:val="24"/>
                      <w:szCs w:val="24"/>
                      <w:lang w:val="en-US" w:eastAsia="zh-CN" w:bidi="ar"/>
                    </w:rPr>
                    <w:t>具体参数</w:t>
                  </w:r>
                </w:p>
                <w:p w14:paraId="080B1C49">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要求</w:t>
                  </w:r>
                </w:p>
              </w:tc>
              <w:tc>
                <w:tcPr>
                  <w:tcW w:w="3835" w:type="dxa"/>
                  <w:shd w:val="clear" w:color="auto" w:fill="auto"/>
                  <w:vAlign w:val="center"/>
                </w:tcPr>
                <w:p w14:paraId="738CDECC">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量化指标</w:t>
                  </w:r>
                </w:p>
              </w:tc>
            </w:tr>
            <w:tr w14:paraId="5930F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blCellSpacing w:w="15" w:type="dxa"/>
              </w:trPr>
              <w:tc>
                <w:tcPr>
                  <w:tcW w:w="1198" w:type="dxa"/>
                  <w:shd w:val="clear" w:color="auto" w:fill="auto"/>
                  <w:vAlign w:val="center"/>
                </w:tcPr>
                <w:p w14:paraId="6B9D7E9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模型架构</w:t>
                  </w:r>
                </w:p>
              </w:tc>
              <w:tc>
                <w:tcPr>
                  <w:tcW w:w="1350" w:type="dxa"/>
                  <w:shd w:val="clear" w:color="auto" w:fill="auto"/>
                  <w:vAlign w:val="center"/>
                </w:tcPr>
                <w:p w14:paraId="1C4DD07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核心框架</w:t>
                  </w:r>
                </w:p>
              </w:tc>
              <w:tc>
                <w:tcPr>
                  <w:tcW w:w="3835" w:type="dxa"/>
                  <w:shd w:val="clear" w:color="auto" w:fill="auto"/>
                  <w:vAlign w:val="center"/>
                </w:tcPr>
                <w:p w14:paraId="660DA7AE">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基于改进型 ResNet-50 CNN，</w:t>
                  </w:r>
                  <w:r>
                    <w:rPr>
                      <w:rFonts w:ascii="宋体" w:hAnsi="宋体" w:eastAsia="宋体" w:cs="宋体"/>
                      <w:sz w:val="24"/>
                      <w:szCs w:val="24"/>
                    </w:rPr>
                    <w:t>支持 PyTorch 2.x、CUDA 12.x、cuDNN 9.x；</w:t>
                  </w:r>
                  <w:r>
                    <w:rPr>
                      <w:rFonts w:ascii="宋体" w:hAnsi="宋体" w:eastAsia="宋体" w:cs="宋体"/>
                      <w:color w:val="000000"/>
                      <w:kern w:val="0"/>
                      <w:sz w:val="24"/>
                      <w:szCs w:val="24"/>
                      <w:lang w:val="en-US" w:eastAsia="zh-CN" w:bidi="ar"/>
                    </w:rPr>
                    <w:t>无需实时适配模块，聚焦离线视频帧处理</w:t>
                  </w:r>
                  <w:r>
                    <w:rPr>
                      <w:rFonts w:hint="eastAsia" w:ascii="宋体" w:hAnsi="宋体" w:eastAsia="宋体" w:cs="宋体"/>
                      <w:color w:val="000000"/>
                      <w:kern w:val="0"/>
                      <w:sz w:val="24"/>
                      <w:szCs w:val="24"/>
                      <w:lang w:val="en-US" w:eastAsia="zh-CN" w:bidi="ar"/>
                    </w:rPr>
                    <w:t>。</w:t>
                  </w:r>
                </w:p>
              </w:tc>
            </w:tr>
            <w:tr w14:paraId="1BAB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198" w:type="dxa"/>
                  <w:shd w:val="clear" w:color="auto" w:fill="auto"/>
                  <w:vAlign w:val="center"/>
                </w:tcPr>
                <w:p w14:paraId="3F7A3E16">
                  <w:pPr>
                    <w:rPr>
                      <w:rFonts w:hint="eastAsia" w:ascii="宋体"/>
                      <w:color w:val="000000"/>
                      <w:sz w:val="24"/>
                      <w:szCs w:val="24"/>
                    </w:rPr>
                  </w:pPr>
                </w:p>
              </w:tc>
              <w:tc>
                <w:tcPr>
                  <w:tcW w:w="1350" w:type="dxa"/>
                  <w:shd w:val="clear" w:color="auto" w:fill="auto"/>
                  <w:vAlign w:val="center"/>
                </w:tcPr>
                <w:p w14:paraId="3AF3BDCE">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算法特性</w:t>
                  </w:r>
                </w:p>
              </w:tc>
              <w:tc>
                <w:tcPr>
                  <w:tcW w:w="3835" w:type="dxa"/>
                  <w:shd w:val="clear" w:color="auto" w:fill="auto"/>
                  <w:vAlign w:val="center"/>
                </w:tcPr>
                <w:p w14:paraId="0B734D95">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保留重叠图像块设计（保证分割连续性），无需 TDM/S-TDM/L-TDM 时序实时建模模块</w:t>
                  </w:r>
                  <w:r>
                    <w:rPr>
                      <w:rFonts w:hint="eastAsia" w:ascii="宋体" w:hAnsi="宋体" w:eastAsia="宋体" w:cs="宋体"/>
                      <w:color w:val="000000"/>
                      <w:kern w:val="0"/>
                      <w:sz w:val="24"/>
                      <w:szCs w:val="24"/>
                      <w:lang w:val="en-US" w:eastAsia="zh-CN" w:bidi="ar"/>
                    </w:rPr>
                    <w:t>。</w:t>
                  </w:r>
                </w:p>
              </w:tc>
            </w:tr>
            <w:tr w14:paraId="45D52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198" w:type="dxa"/>
                  <w:shd w:val="clear" w:color="auto" w:fill="auto"/>
                  <w:vAlign w:val="center"/>
                </w:tcPr>
                <w:p w14:paraId="0312C061">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模型性能</w:t>
                  </w:r>
                </w:p>
              </w:tc>
              <w:tc>
                <w:tcPr>
                  <w:tcW w:w="1350" w:type="dxa"/>
                  <w:shd w:val="clear" w:color="auto" w:fill="auto"/>
                  <w:vAlign w:val="center"/>
                </w:tcPr>
                <w:p w14:paraId="3BA557B4">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识别准确率</w:t>
                  </w:r>
                </w:p>
              </w:tc>
              <w:tc>
                <w:tcPr>
                  <w:tcW w:w="3835" w:type="dxa"/>
                  <w:shd w:val="clear" w:color="auto" w:fill="auto"/>
                  <w:vAlign w:val="center"/>
                </w:tcPr>
                <w:p w14:paraId="41780399">
                  <w:pPr>
                    <w:keepNext w:val="0"/>
                    <w:keepLines w:val="0"/>
                    <w:widowControl/>
                    <w:suppressLineNumbers w:val="0"/>
                    <w:spacing w:before="0" w:beforeAutospacing="0" w:after="0" w:afterAutospacing="0" w:line="360" w:lineRule="atLeast"/>
                    <w:ind w:left="0" w:right="0"/>
                    <w:jc w:val="left"/>
                    <w:rPr>
                      <w:rFonts w:hint="eastAsia" w:eastAsia="宋体"/>
                      <w:color w:val="000000"/>
                      <w:sz w:val="24"/>
                      <w:szCs w:val="24"/>
                      <w:lang w:eastAsia="zh-CN"/>
                    </w:rPr>
                  </w:pPr>
                  <w:r>
                    <w:rPr>
                      <w:rFonts w:ascii="宋体" w:hAnsi="宋体" w:eastAsia="宋体" w:cs="宋体"/>
                      <w:color w:val="000000"/>
                      <w:kern w:val="0"/>
                      <w:sz w:val="24"/>
                      <w:szCs w:val="24"/>
                      <w:lang w:val="en-US" w:eastAsia="zh-CN" w:bidi="ar"/>
                    </w:rPr>
                    <w:t>7 类关键结构</w:t>
                  </w:r>
                  <w:r>
                    <w:rPr>
                      <w:rFonts w:hint="eastAsia" w:ascii="宋体" w:hAnsi="宋体" w:eastAsia="宋体" w:cs="宋体"/>
                      <w:color w:val="000000"/>
                      <w:kern w:val="0"/>
                      <w:sz w:val="24"/>
                      <w:szCs w:val="24"/>
                      <w:lang w:val="en-US" w:eastAsia="zh-CN" w:bidi="ar"/>
                    </w:rPr>
                    <w:t>综合</w:t>
                  </w:r>
                  <w:r>
                    <w:rPr>
                      <w:rFonts w:ascii="宋体" w:hAnsi="宋体" w:eastAsia="宋体" w:cs="宋体"/>
                      <w:color w:val="000000"/>
                      <w:kern w:val="0"/>
                      <w:sz w:val="24"/>
                      <w:szCs w:val="24"/>
                      <w:lang w:val="en-US" w:eastAsia="zh-CN" w:bidi="ar"/>
                    </w:rPr>
                    <w:t>识别准确率≥9</w:t>
                  </w:r>
                  <w:r>
                    <w:rPr>
                      <w:rFonts w:hint="eastAsia" w:ascii="宋体" w:hAnsi="宋体" w:eastAsia="宋体" w:cs="宋体"/>
                      <w:color w:val="000000"/>
                      <w:kern w:val="0"/>
                      <w:sz w:val="24"/>
                      <w:szCs w:val="24"/>
                      <w:lang w:val="en-US" w:eastAsia="zh-CN" w:bidi="ar"/>
                    </w:rPr>
                    <w:t>5</w:t>
                  </w: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w:t>
                  </w:r>
                  <w:r>
                    <w:rPr>
                      <w:rFonts w:ascii="宋体" w:hAnsi="宋体" w:eastAsia="宋体" w:cs="宋体"/>
                      <w:sz w:val="24"/>
                      <w:szCs w:val="24"/>
                    </w:rPr>
                    <w:t>实时推理延迟满足手术场景</w:t>
                  </w:r>
                  <w:r>
                    <w:rPr>
                      <w:rFonts w:hint="eastAsia" w:ascii="宋体" w:hAnsi="宋体" w:eastAsia="宋体" w:cs="宋体"/>
                      <w:sz w:val="24"/>
                      <w:szCs w:val="24"/>
                      <w:lang w:eastAsia="zh-CN"/>
                    </w:rPr>
                    <w:t>。</w:t>
                  </w:r>
                  <w:r>
                    <w:rPr>
                      <w:rFonts w:ascii="宋体" w:hAnsi="宋体" w:eastAsia="宋体" w:cs="宋体"/>
                      <w:sz w:val="24"/>
                      <w:szCs w:val="24"/>
                    </w:rPr>
                    <w:t>术中动态导航延迟 ≤0.2 秒，路径规划偏差 ≤2mm</w:t>
                  </w:r>
                  <w:r>
                    <w:rPr>
                      <w:rFonts w:hint="eastAsia" w:ascii="宋体" w:hAnsi="宋体" w:eastAsia="宋体" w:cs="宋体"/>
                      <w:sz w:val="24"/>
                      <w:szCs w:val="24"/>
                      <w:lang w:eastAsia="zh-CN"/>
                    </w:rPr>
                    <w:t>。</w:t>
                  </w:r>
                </w:p>
              </w:tc>
            </w:tr>
            <w:tr w14:paraId="501C0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198" w:type="dxa"/>
                  <w:shd w:val="clear" w:color="auto" w:fill="auto"/>
                  <w:vAlign w:val="center"/>
                </w:tcPr>
                <w:p w14:paraId="59E7D466">
                  <w:pPr>
                    <w:rPr>
                      <w:rFonts w:hint="eastAsia" w:ascii="宋体"/>
                      <w:color w:val="000000"/>
                      <w:sz w:val="24"/>
                      <w:szCs w:val="24"/>
                    </w:rPr>
                  </w:pPr>
                </w:p>
              </w:tc>
              <w:tc>
                <w:tcPr>
                  <w:tcW w:w="1350" w:type="dxa"/>
                  <w:shd w:val="clear" w:color="auto" w:fill="auto"/>
                  <w:vAlign w:val="center"/>
                </w:tcPr>
                <w:p w14:paraId="5D35BFD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处理效率</w:t>
                  </w:r>
                </w:p>
              </w:tc>
              <w:tc>
                <w:tcPr>
                  <w:tcW w:w="3835" w:type="dxa"/>
                  <w:shd w:val="clear" w:color="auto" w:fill="auto"/>
                  <w:vAlign w:val="center"/>
                </w:tcPr>
                <w:p w14:paraId="576D1C52">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单段 1 小时手术视频（1080P）全量标注时间≤30 分钟（支持批量处理，每批次≥20 段视频）</w:t>
                  </w:r>
                  <w:r>
                    <w:rPr>
                      <w:rFonts w:hint="eastAsia" w:ascii="宋体" w:hAnsi="宋体" w:eastAsia="宋体" w:cs="宋体"/>
                      <w:color w:val="000000"/>
                      <w:kern w:val="0"/>
                      <w:sz w:val="24"/>
                      <w:szCs w:val="24"/>
                      <w:lang w:val="en-US" w:eastAsia="zh-CN" w:bidi="ar"/>
                    </w:rPr>
                    <w:t>。</w:t>
                  </w:r>
                </w:p>
              </w:tc>
            </w:tr>
            <w:tr w14:paraId="199A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198" w:type="dxa"/>
                  <w:shd w:val="clear" w:color="auto" w:fill="auto"/>
                  <w:vAlign w:val="center"/>
                </w:tcPr>
                <w:p w14:paraId="532E092E">
                  <w:pPr>
                    <w:rPr>
                      <w:rFonts w:hint="eastAsia" w:ascii="宋体"/>
                      <w:color w:val="000000"/>
                      <w:sz w:val="24"/>
                      <w:szCs w:val="24"/>
                    </w:rPr>
                  </w:pPr>
                </w:p>
              </w:tc>
              <w:tc>
                <w:tcPr>
                  <w:tcW w:w="1350" w:type="dxa"/>
                  <w:shd w:val="clear" w:color="auto" w:fill="auto"/>
                  <w:vAlign w:val="center"/>
                </w:tcPr>
                <w:p w14:paraId="66009EF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抗干扰能力</w:t>
                  </w:r>
                </w:p>
              </w:tc>
              <w:tc>
                <w:tcPr>
                  <w:tcW w:w="3835" w:type="dxa"/>
                  <w:shd w:val="clear" w:color="auto" w:fill="auto"/>
                  <w:vAlign w:val="center"/>
                </w:tcPr>
                <w:p w14:paraId="0E0BEDD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针对录制视频中常见的局部模糊、轻微遮挡，识别准确率下降幅度≤8%（无需应对术中实时烟雾 / 出血动态干扰）</w:t>
                  </w:r>
                </w:p>
              </w:tc>
            </w:tr>
            <w:tr w14:paraId="37971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198" w:type="dxa"/>
                  <w:shd w:val="clear" w:color="auto" w:fill="auto"/>
                  <w:vAlign w:val="center"/>
                </w:tcPr>
                <w:p w14:paraId="6F0F65D7">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迭代优化</w:t>
                  </w:r>
                </w:p>
              </w:tc>
              <w:tc>
                <w:tcPr>
                  <w:tcW w:w="1350" w:type="dxa"/>
                  <w:shd w:val="clear" w:color="auto" w:fill="auto"/>
                  <w:vAlign w:val="center"/>
                </w:tcPr>
                <w:p w14:paraId="0E200C6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迭代次数</w:t>
                  </w:r>
                </w:p>
              </w:tc>
              <w:tc>
                <w:tcPr>
                  <w:tcW w:w="3835" w:type="dxa"/>
                  <w:shd w:val="clear" w:color="auto" w:fill="auto"/>
                  <w:vAlign w:val="center"/>
                </w:tcPr>
                <w:p w14:paraId="57B4D314">
                  <w:pPr>
                    <w:keepNext w:val="0"/>
                    <w:keepLines w:val="0"/>
                    <w:widowControl/>
                    <w:suppressLineNumbers w:val="0"/>
                    <w:spacing w:before="0" w:beforeAutospacing="0" w:after="0" w:afterAutospacing="0" w:line="360" w:lineRule="atLeast"/>
                    <w:ind w:left="0" w:right="0"/>
                    <w:jc w:val="left"/>
                    <w:rPr>
                      <w:rFonts w:hint="eastAsia" w:eastAsia="宋体"/>
                      <w:color w:val="000000"/>
                      <w:sz w:val="24"/>
                      <w:szCs w:val="24"/>
                      <w:lang w:eastAsia="zh-CN"/>
                    </w:rPr>
                  </w:pPr>
                  <w:r>
                    <w:rPr>
                      <w:rFonts w:ascii="宋体" w:hAnsi="宋体" w:eastAsia="宋体" w:cs="宋体"/>
                      <w:sz w:val="24"/>
                      <w:szCs w:val="24"/>
                    </w:rPr>
                    <w:t>每 2 个月完成 1 次模型迭代，输出优化报告与性能评估</w:t>
                  </w:r>
                  <w:r>
                    <w:rPr>
                      <w:rFonts w:hint="eastAsia" w:ascii="宋体" w:hAnsi="宋体" w:eastAsia="宋体" w:cs="宋体"/>
                      <w:sz w:val="24"/>
                      <w:szCs w:val="24"/>
                      <w:lang w:eastAsia="zh-CN"/>
                    </w:rPr>
                    <w:t>；</w:t>
                  </w:r>
                  <w:r>
                    <w:rPr>
                      <w:rFonts w:ascii="宋体" w:hAnsi="宋体" w:eastAsia="宋体" w:cs="宋体"/>
                      <w:sz w:val="24"/>
                      <w:szCs w:val="24"/>
                      <w:lang w:val="en-US" w:eastAsia="zh-CN"/>
                    </w:rPr>
                    <w:t>提供</w:t>
                  </w:r>
                  <w:r>
                    <w:rPr>
                      <w:rFonts w:ascii="宋体" w:hAnsi="宋体" w:eastAsia="宋体" w:cs="宋体"/>
                      <w:color w:val="000000"/>
                      <w:kern w:val="0"/>
                      <w:sz w:val="24"/>
                      <w:szCs w:val="24"/>
                      <w:lang w:val="en-US" w:eastAsia="zh-CN" w:bidi="ar"/>
                    </w:rPr>
                    <w:t>性能测试报告；结合 10 台验证手术视频优化模型</w:t>
                  </w:r>
                  <w:r>
                    <w:rPr>
                      <w:rFonts w:hint="eastAsia" w:ascii="宋体" w:hAnsi="宋体" w:eastAsia="宋体" w:cs="宋体"/>
                      <w:color w:val="000000"/>
                      <w:kern w:val="0"/>
                      <w:sz w:val="24"/>
                      <w:szCs w:val="24"/>
                      <w:lang w:val="en-US" w:eastAsia="zh-CN" w:bidi="ar"/>
                    </w:rPr>
                    <w:t>。</w:t>
                  </w:r>
                  <w:r>
                    <w:rPr>
                      <w:rFonts w:ascii="宋体" w:hAnsi="宋体" w:eastAsia="宋体" w:cs="宋体"/>
                      <w:b/>
                      <w:bCs/>
                      <w:sz w:val="24"/>
                      <w:szCs w:val="24"/>
                    </w:rPr>
                    <w:t>提供标准API/SDK，兼容后期云服务器部署（预留对接</w:t>
                  </w:r>
                  <w:r>
                    <w:rPr>
                      <w:rFonts w:hint="eastAsia" w:ascii="宋体" w:hAnsi="宋体" w:eastAsia="宋体" w:cs="宋体"/>
                      <w:b/>
                      <w:bCs/>
                      <w:sz w:val="24"/>
                      <w:szCs w:val="24"/>
                      <w:lang w:eastAsia="zh-CN"/>
                    </w:rPr>
                    <w:t>）</w:t>
                  </w:r>
                </w:p>
              </w:tc>
            </w:tr>
          </w:tbl>
          <w:p w14:paraId="7025E3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b w:val="0"/>
                <w:bCs w:val="0"/>
                <w:color w:val="000000"/>
                <w:sz w:val="24"/>
                <w:szCs w:val="24"/>
              </w:rPr>
            </w:pPr>
            <w:r>
              <w:rPr>
                <w:rFonts w:hint="eastAsia"/>
                <w:b w:val="0"/>
                <w:bCs w:val="0"/>
                <w:spacing w:val="-3"/>
                <w:lang w:val="en-US" w:eastAsia="zh-CN"/>
              </w:rPr>
              <w:t>3</w:t>
            </w:r>
            <w:r>
              <w:rPr>
                <w:rFonts w:hint="eastAsia"/>
                <w:b w:val="0"/>
                <w:bCs w:val="0"/>
                <w:color w:val="000000"/>
                <w:sz w:val="24"/>
                <w:szCs w:val="24"/>
                <w:lang w:val="en-US" w:eastAsia="zh-CN"/>
              </w:rPr>
              <w:t>.</w:t>
            </w:r>
            <w:r>
              <w:rPr>
                <w:b w:val="0"/>
                <w:bCs w:val="0"/>
                <w:color w:val="000000"/>
                <w:sz w:val="24"/>
                <w:szCs w:val="24"/>
              </w:rPr>
              <w:t>离线视频自动标注模块开发参数</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09"/>
              <w:gridCol w:w="1476"/>
              <w:gridCol w:w="4004"/>
            </w:tblGrid>
            <w:tr w14:paraId="6A47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964" w:type="dxa"/>
                  <w:shd w:val="clear" w:color="auto" w:fill="auto"/>
                  <w:vAlign w:val="center"/>
                </w:tcPr>
                <w:p w14:paraId="34EBD38E">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服务类别</w:t>
                  </w:r>
                </w:p>
              </w:tc>
              <w:tc>
                <w:tcPr>
                  <w:tcW w:w="1446" w:type="dxa"/>
                  <w:shd w:val="clear" w:color="auto" w:fill="auto"/>
                  <w:vAlign w:val="center"/>
                </w:tcPr>
                <w:p w14:paraId="660FAEB9">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具体参数要求</w:t>
                  </w:r>
                </w:p>
              </w:tc>
              <w:tc>
                <w:tcPr>
                  <w:tcW w:w="3959" w:type="dxa"/>
                  <w:shd w:val="clear" w:color="auto" w:fill="auto"/>
                  <w:vAlign w:val="center"/>
                </w:tcPr>
                <w:p w14:paraId="58EEF9A4">
                  <w:pPr>
                    <w:keepNext w:val="0"/>
                    <w:keepLines w:val="0"/>
                    <w:widowControl/>
                    <w:suppressLineNumbers w:val="0"/>
                    <w:spacing w:before="0" w:beforeAutospacing="0" w:after="0" w:afterAutospacing="0" w:line="360" w:lineRule="atLeast"/>
                    <w:ind w:left="0" w:right="0"/>
                    <w:jc w:val="center"/>
                    <w:rPr>
                      <w:b w:val="0"/>
                      <w:bCs w:val="0"/>
                      <w:color w:val="000000"/>
                      <w:sz w:val="24"/>
                      <w:szCs w:val="24"/>
                    </w:rPr>
                  </w:pPr>
                  <w:r>
                    <w:rPr>
                      <w:rFonts w:ascii="宋体" w:hAnsi="宋体" w:eastAsia="宋体" w:cs="宋体"/>
                      <w:b w:val="0"/>
                      <w:bCs w:val="0"/>
                      <w:color w:val="000000"/>
                      <w:kern w:val="0"/>
                      <w:sz w:val="24"/>
                      <w:szCs w:val="24"/>
                      <w:lang w:val="en-US" w:eastAsia="zh-CN" w:bidi="ar"/>
                    </w:rPr>
                    <w:t>量化指标</w:t>
                  </w:r>
                </w:p>
              </w:tc>
            </w:tr>
            <w:tr w14:paraId="2A6BE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964" w:type="dxa"/>
                  <w:shd w:val="clear" w:color="auto" w:fill="auto"/>
                  <w:vAlign w:val="center"/>
                </w:tcPr>
                <w:p w14:paraId="5BCFCD45">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核心功能</w:t>
                  </w:r>
                </w:p>
              </w:tc>
              <w:tc>
                <w:tcPr>
                  <w:tcW w:w="1446" w:type="dxa"/>
                  <w:shd w:val="clear" w:color="auto" w:fill="auto"/>
                  <w:vAlign w:val="center"/>
                </w:tcPr>
                <w:p w14:paraId="4481FE27">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自动</w:t>
                  </w:r>
                </w:p>
                <w:p w14:paraId="177D13F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标注</w:t>
                  </w:r>
                </w:p>
              </w:tc>
              <w:tc>
                <w:tcPr>
                  <w:tcW w:w="3959" w:type="dxa"/>
                  <w:shd w:val="clear" w:color="auto" w:fill="auto"/>
                  <w:vAlign w:val="center"/>
                </w:tcPr>
                <w:p w14:paraId="085DBA8C">
                  <w:pPr>
                    <w:keepNext w:val="0"/>
                    <w:keepLines w:val="0"/>
                    <w:widowControl/>
                    <w:suppressLineNumbers w:val="0"/>
                    <w:spacing w:before="0" w:beforeAutospacing="0" w:after="0" w:afterAutospacing="0" w:line="360" w:lineRule="atLeast"/>
                    <w:ind w:left="0" w:right="0"/>
                    <w:jc w:val="left"/>
                    <w:rPr>
                      <w:rFonts w:hint="eastAsia" w:eastAsia="宋体"/>
                      <w:color w:val="000000"/>
                      <w:sz w:val="24"/>
                      <w:szCs w:val="24"/>
                      <w:lang w:eastAsia="zh-CN"/>
                    </w:rPr>
                  </w:pPr>
                  <w:r>
                    <w:rPr>
                      <w:rFonts w:ascii="宋体" w:hAnsi="宋体" w:eastAsia="宋体" w:cs="宋体"/>
                      <w:color w:val="000000"/>
                      <w:kern w:val="0"/>
                      <w:sz w:val="24"/>
                      <w:szCs w:val="24"/>
                      <w:lang w:val="en-US" w:eastAsia="zh-CN" w:bidi="ar"/>
                    </w:rPr>
                    <w:t>导入原始手术视频后，</w:t>
                  </w:r>
                  <w:r>
                    <w:rPr>
                      <w:rFonts w:hint="eastAsia" w:ascii="宋体" w:hAnsi="宋体" w:eastAsia="宋体" w:cs="宋体"/>
                      <w:sz w:val="24"/>
                      <w:szCs w:val="24"/>
                      <w:lang w:val="en-US" w:eastAsia="zh-CN"/>
                    </w:rPr>
                    <w:t>实现</w:t>
                  </w:r>
                  <w:r>
                    <w:rPr>
                      <w:rFonts w:ascii="宋体" w:hAnsi="宋体" w:eastAsia="宋体" w:cs="宋体"/>
                      <w:sz w:val="24"/>
                      <w:szCs w:val="24"/>
                    </w:rPr>
                    <w:t>关键结构自动识别、虚拟色标显示、风险区域预警、动态路径规划</w:t>
                  </w:r>
                  <w:r>
                    <w:rPr>
                      <w:rFonts w:hint="eastAsia" w:ascii="宋体" w:hAnsi="宋体" w:eastAsia="宋体" w:cs="宋体"/>
                      <w:sz w:val="24"/>
                      <w:szCs w:val="24"/>
                      <w:lang w:eastAsia="zh-CN"/>
                    </w:rPr>
                    <w:t>。</w:t>
                  </w:r>
                  <w:r>
                    <w:rPr>
                      <w:rFonts w:ascii="宋体" w:hAnsi="宋体" w:eastAsia="宋体" w:cs="宋体"/>
                      <w:color w:val="000000"/>
                      <w:kern w:val="0"/>
                      <w:sz w:val="24"/>
                      <w:szCs w:val="24"/>
                      <w:lang w:val="en-US" w:eastAsia="zh-CN" w:bidi="ar"/>
                    </w:rPr>
                    <w:t>叠加虚拟色标标注（可自定义色标、透明度）</w:t>
                  </w:r>
                  <w:r>
                    <w:rPr>
                      <w:rFonts w:hint="eastAsia" w:ascii="宋体" w:hAnsi="宋体" w:eastAsia="宋体" w:cs="宋体"/>
                      <w:color w:val="000000"/>
                      <w:kern w:val="0"/>
                      <w:sz w:val="24"/>
                      <w:szCs w:val="24"/>
                      <w:lang w:val="en-US" w:eastAsia="zh-CN" w:bidi="ar"/>
                    </w:rPr>
                    <w:t>。</w:t>
                  </w:r>
                  <w:r>
                    <w:rPr>
                      <w:rFonts w:ascii="宋体" w:hAnsi="宋体" w:eastAsia="宋体" w:cs="宋体"/>
                      <w:sz w:val="24"/>
                      <w:szCs w:val="24"/>
                    </w:rPr>
                    <w:t>提供人工复核编辑界面，支持标注结果修改与确认</w:t>
                  </w:r>
                  <w:r>
                    <w:rPr>
                      <w:rFonts w:hint="eastAsia" w:ascii="宋体" w:hAnsi="宋体" w:eastAsia="宋体" w:cs="宋体"/>
                      <w:sz w:val="24"/>
                      <w:szCs w:val="24"/>
                      <w:lang w:eastAsia="zh-CN"/>
                    </w:rPr>
                    <w:t>。</w:t>
                  </w:r>
                </w:p>
              </w:tc>
            </w:tr>
            <w:tr w14:paraId="752C0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964" w:type="dxa"/>
                  <w:shd w:val="clear" w:color="auto" w:fill="auto"/>
                  <w:vAlign w:val="center"/>
                </w:tcPr>
                <w:p w14:paraId="31A1DAB9">
                  <w:pPr>
                    <w:rPr>
                      <w:rFonts w:hint="eastAsia" w:ascii="宋体"/>
                      <w:color w:val="000000"/>
                      <w:sz w:val="24"/>
                      <w:szCs w:val="24"/>
                    </w:rPr>
                  </w:pPr>
                </w:p>
              </w:tc>
              <w:tc>
                <w:tcPr>
                  <w:tcW w:w="1446" w:type="dxa"/>
                  <w:shd w:val="clear" w:color="auto" w:fill="auto"/>
                  <w:vAlign w:val="center"/>
                </w:tcPr>
                <w:p w14:paraId="4F7D69C0">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标注</w:t>
                  </w:r>
                </w:p>
                <w:p w14:paraId="1CE0076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输出</w:t>
                  </w:r>
                </w:p>
              </w:tc>
              <w:tc>
                <w:tcPr>
                  <w:tcW w:w="3959" w:type="dxa"/>
                  <w:shd w:val="clear" w:color="auto" w:fill="auto"/>
                  <w:vAlign w:val="center"/>
                </w:tcPr>
                <w:p w14:paraId="0ADF196C">
                  <w:pPr>
                    <w:keepNext w:val="0"/>
                    <w:keepLines w:val="0"/>
                    <w:widowControl/>
                    <w:suppressLineNumbers w:val="0"/>
                    <w:spacing w:before="0" w:beforeAutospacing="0" w:after="0" w:afterAutospacing="0" w:line="360" w:lineRule="atLeast"/>
                    <w:ind w:left="0" w:right="0"/>
                    <w:jc w:val="left"/>
                    <w:rPr>
                      <w:rFonts w:hint="eastAsia" w:eastAsia="宋体"/>
                      <w:color w:val="000000"/>
                      <w:sz w:val="24"/>
                      <w:szCs w:val="24"/>
                      <w:lang w:eastAsia="zh-CN"/>
                    </w:rPr>
                  </w:pPr>
                  <w:r>
                    <w:rPr>
                      <w:rFonts w:ascii="宋体" w:hAnsi="宋体" w:eastAsia="宋体" w:cs="宋体"/>
                      <w:color w:val="000000"/>
                      <w:kern w:val="0"/>
                      <w:sz w:val="24"/>
                      <w:szCs w:val="24"/>
                      <w:lang w:val="en-US" w:eastAsia="zh-CN" w:bidi="ar"/>
                    </w:rPr>
                    <w:t>支持两种输出形式：①带标注的视频文件（MP4 格式，与原视频帧率一致）；②标注坐标文件（JSON/XML 格式，可对接医学影像软件查看）</w:t>
                  </w:r>
                  <w:r>
                    <w:rPr>
                      <w:rFonts w:hint="eastAsia" w:ascii="宋体" w:hAnsi="宋体" w:eastAsia="宋体" w:cs="宋体"/>
                      <w:color w:val="000000"/>
                      <w:kern w:val="0"/>
                      <w:sz w:val="24"/>
                      <w:szCs w:val="24"/>
                      <w:lang w:val="en-US" w:eastAsia="zh-CN" w:bidi="ar"/>
                    </w:rPr>
                    <w:t>。</w:t>
                  </w:r>
                  <w:r>
                    <w:rPr>
                      <w:rFonts w:ascii="宋体" w:hAnsi="宋体" w:eastAsia="宋体" w:cs="宋体"/>
                      <w:sz w:val="24"/>
                      <w:szCs w:val="24"/>
                    </w:rPr>
                    <w:t>输出标准格式数据集，可直接用于模型再训练与临床存档</w:t>
                  </w:r>
                  <w:r>
                    <w:rPr>
                      <w:rFonts w:hint="eastAsia" w:ascii="宋体" w:hAnsi="宋体" w:eastAsia="宋体" w:cs="宋体"/>
                      <w:sz w:val="24"/>
                      <w:szCs w:val="24"/>
                      <w:lang w:eastAsia="zh-CN"/>
                    </w:rPr>
                    <w:t>。</w:t>
                  </w:r>
                </w:p>
              </w:tc>
            </w:tr>
            <w:tr w14:paraId="1143B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964" w:type="dxa"/>
                  <w:shd w:val="clear" w:color="auto" w:fill="auto"/>
                  <w:vAlign w:val="center"/>
                </w:tcPr>
                <w:p w14:paraId="7760BDC2">
                  <w:pPr>
                    <w:rPr>
                      <w:rFonts w:hint="eastAsia" w:ascii="宋体"/>
                      <w:color w:val="000000"/>
                      <w:sz w:val="24"/>
                      <w:szCs w:val="24"/>
                    </w:rPr>
                  </w:pPr>
                </w:p>
              </w:tc>
              <w:tc>
                <w:tcPr>
                  <w:tcW w:w="1446" w:type="dxa"/>
                  <w:shd w:val="clear" w:color="auto" w:fill="auto"/>
                  <w:vAlign w:val="center"/>
                </w:tcPr>
                <w:p w14:paraId="440B08C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操作便捷性</w:t>
                  </w:r>
                </w:p>
              </w:tc>
              <w:tc>
                <w:tcPr>
                  <w:tcW w:w="3959" w:type="dxa"/>
                  <w:shd w:val="clear" w:color="auto" w:fill="auto"/>
                  <w:vAlign w:val="center"/>
                </w:tcPr>
                <w:p w14:paraId="10344EB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提供可视化操作界面，支持视频分段标注、标注结果手动修正、批量导入 / 导出</w:t>
                  </w:r>
                  <w:r>
                    <w:rPr>
                      <w:rFonts w:hint="eastAsia" w:ascii="宋体" w:hAnsi="宋体" w:eastAsia="宋体" w:cs="宋体"/>
                      <w:color w:val="000000"/>
                      <w:kern w:val="0"/>
                      <w:sz w:val="24"/>
                      <w:szCs w:val="24"/>
                      <w:lang w:val="en-US" w:eastAsia="zh-CN" w:bidi="ar"/>
                    </w:rPr>
                    <w:t>。</w:t>
                  </w:r>
                </w:p>
              </w:tc>
            </w:tr>
            <w:tr w14:paraId="6ACC0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964" w:type="dxa"/>
                  <w:shd w:val="clear" w:color="auto" w:fill="auto"/>
                  <w:vAlign w:val="center"/>
                </w:tcPr>
                <w:p w14:paraId="7EED3BE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软件交付</w:t>
                  </w:r>
                </w:p>
              </w:tc>
              <w:tc>
                <w:tcPr>
                  <w:tcW w:w="1446" w:type="dxa"/>
                  <w:shd w:val="clear" w:color="auto" w:fill="auto"/>
                  <w:vAlign w:val="center"/>
                </w:tcPr>
                <w:p w14:paraId="458E0435">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运行环境</w:t>
                  </w:r>
                </w:p>
              </w:tc>
              <w:tc>
                <w:tcPr>
                  <w:tcW w:w="3959" w:type="dxa"/>
                  <w:shd w:val="clear" w:color="auto" w:fill="auto"/>
                  <w:vAlign w:val="center"/>
                </w:tcPr>
                <w:p w14:paraId="0E8EC0D1">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支持 Windows/Linux 操作系统，提供独立可安装软件模块及操作手册（无需硬件对接接口）</w:t>
                  </w:r>
                  <w:r>
                    <w:rPr>
                      <w:rFonts w:hint="eastAsia" w:ascii="宋体" w:hAnsi="宋体" w:eastAsia="宋体" w:cs="宋体"/>
                      <w:color w:val="000000"/>
                      <w:kern w:val="0"/>
                      <w:sz w:val="24"/>
                      <w:szCs w:val="24"/>
                      <w:lang w:val="en-US" w:eastAsia="zh-CN" w:bidi="ar"/>
                    </w:rPr>
                    <w:t>。</w:t>
                  </w:r>
                </w:p>
              </w:tc>
            </w:tr>
            <w:tr w14:paraId="2AC56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964" w:type="dxa"/>
                  <w:shd w:val="clear" w:color="auto" w:fill="auto"/>
                  <w:vAlign w:val="center"/>
                </w:tcPr>
                <w:p w14:paraId="7CFFBDF9">
                  <w:pPr>
                    <w:rPr>
                      <w:rFonts w:hint="eastAsia" w:ascii="宋体"/>
                      <w:color w:val="000000"/>
                      <w:sz w:val="24"/>
                      <w:szCs w:val="24"/>
                    </w:rPr>
                  </w:pPr>
                </w:p>
              </w:tc>
              <w:tc>
                <w:tcPr>
                  <w:tcW w:w="1446" w:type="dxa"/>
                  <w:shd w:val="clear" w:color="auto" w:fill="auto"/>
                  <w:vAlign w:val="center"/>
                </w:tcPr>
                <w:p w14:paraId="70D58B03">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稳定性</w:t>
                  </w:r>
                </w:p>
              </w:tc>
              <w:tc>
                <w:tcPr>
                  <w:tcW w:w="3959" w:type="dxa"/>
                  <w:shd w:val="clear" w:color="auto" w:fill="auto"/>
                  <w:vAlign w:val="center"/>
                </w:tcPr>
                <w:p w14:paraId="6089166C">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连续处理 50 段手术视频无崩溃，模块运行稳定性≥99.5%</w:t>
                  </w:r>
                  <w:r>
                    <w:rPr>
                      <w:rFonts w:hint="eastAsia" w:ascii="宋体" w:hAnsi="宋体" w:eastAsia="宋体" w:cs="宋体"/>
                      <w:color w:val="000000"/>
                      <w:kern w:val="0"/>
                      <w:sz w:val="24"/>
                      <w:szCs w:val="24"/>
                      <w:lang w:val="en-US" w:eastAsia="zh-CN" w:bidi="ar"/>
                    </w:rPr>
                    <w:t>。</w:t>
                  </w:r>
                </w:p>
              </w:tc>
            </w:tr>
            <w:tr w14:paraId="4022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964" w:type="dxa"/>
                  <w:shd w:val="clear" w:color="auto" w:fill="auto"/>
                  <w:vAlign w:val="center"/>
                </w:tcPr>
                <w:p w14:paraId="531C0E47">
                  <w:pPr>
                    <w:rPr>
                      <w:rFonts w:hint="eastAsia" w:ascii="宋体"/>
                      <w:color w:val="000000"/>
                      <w:sz w:val="24"/>
                      <w:szCs w:val="24"/>
                    </w:rPr>
                  </w:pPr>
                </w:p>
              </w:tc>
              <w:tc>
                <w:tcPr>
                  <w:tcW w:w="1446" w:type="dxa"/>
                  <w:shd w:val="clear" w:color="auto" w:fill="auto"/>
                  <w:vAlign w:val="center"/>
                </w:tcPr>
                <w:p w14:paraId="15A3AA9E">
                  <w:pPr>
                    <w:keepNext w:val="0"/>
                    <w:keepLines w:val="0"/>
                    <w:widowControl/>
                    <w:suppressLineNumbers w:val="0"/>
                    <w:spacing w:before="0" w:beforeAutospacing="0" w:after="0" w:afterAutospacing="0" w:line="360" w:lineRule="atLeast"/>
                    <w:ind w:left="0" w:right="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扩展性</w:t>
                  </w:r>
                </w:p>
              </w:tc>
              <w:tc>
                <w:tcPr>
                  <w:tcW w:w="3959" w:type="dxa"/>
                  <w:shd w:val="clear" w:color="auto" w:fill="auto"/>
                  <w:vAlign w:val="center"/>
                </w:tcPr>
                <w:p w14:paraId="480EB421">
                  <w:pPr>
                    <w:pStyle w:val="10"/>
                    <w:spacing w:before="42" w:line="360" w:lineRule="auto"/>
                    <w:ind w:left="121" w:hanging="109"/>
                    <w:jc w:val="both"/>
                    <w:rPr>
                      <w:rFonts w:ascii="宋体" w:hAnsi="宋体" w:eastAsia="宋体" w:cs="宋体"/>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支持开源多模块AI模型扩展</w:t>
                  </w:r>
                  <w:r>
                    <w:rPr>
                      <w:rFonts w:hint="eastAsia" w:cs="宋体"/>
                      <w:snapToGrid w:val="0"/>
                      <w:color w:val="000000"/>
                      <w:kern w:val="0"/>
                      <w:sz w:val="24"/>
                      <w:szCs w:val="24"/>
                      <w:lang w:val="en-US" w:eastAsia="zh-CN" w:bidi="ar"/>
                    </w:rPr>
                    <w:t>，</w:t>
                  </w:r>
                  <w:r>
                    <w:rPr>
                      <w:rFonts w:ascii="宋体" w:hAnsi="宋体" w:eastAsia="宋体" w:cs="宋体"/>
                      <w:snapToGrid w:val="0"/>
                      <w:color w:val="000000"/>
                      <w:kern w:val="0"/>
                      <w:sz w:val="24"/>
                      <w:szCs w:val="24"/>
                      <w:lang w:val="en-US" w:eastAsia="zh-CN" w:bidi="ar"/>
                    </w:rPr>
                    <w:t>据模型开发与3D建模(PC端和移动端)</w:t>
                  </w:r>
                  <w:r>
                    <w:rPr>
                      <w:rFonts w:hint="eastAsia" w:cs="宋体"/>
                      <w:snapToGrid w:val="0"/>
                      <w:color w:val="000000"/>
                      <w:kern w:val="0"/>
                      <w:sz w:val="24"/>
                      <w:szCs w:val="24"/>
                      <w:lang w:val="en-US" w:eastAsia="zh-CN" w:bidi="ar"/>
                    </w:rPr>
                    <w:t>。</w:t>
                  </w:r>
                </w:p>
              </w:tc>
            </w:tr>
          </w:tbl>
          <w:p w14:paraId="4353B8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b w:val="0"/>
                <w:bCs w:val="0"/>
                <w:color w:val="000000"/>
                <w:sz w:val="24"/>
                <w:szCs w:val="24"/>
              </w:rPr>
            </w:pPr>
            <w:r>
              <w:rPr>
                <w:rFonts w:hint="eastAsia" w:ascii="宋体" w:hAnsi="宋体" w:eastAsia="宋体" w:cs="宋体"/>
                <w:b w:val="0"/>
                <w:bCs w:val="0"/>
                <w:snapToGrid w:val="0"/>
                <w:color w:val="000000"/>
                <w:kern w:val="0"/>
                <w:sz w:val="24"/>
                <w:szCs w:val="24"/>
                <w:lang w:val="en-US" w:eastAsia="zh-CN" w:bidi="ar-SA"/>
              </w:rPr>
              <w:t>4.</w:t>
            </w:r>
            <w:r>
              <w:rPr>
                <w:b w:val="0"/>
                <w:bCs w:val="0"/>
                <w:color w:val="000000"/>
                <w:sz w:val="24"/>
                <w:szCs w:val="24"/>
              </w:rPr>
              <w:t>临床验证与转化支持参数</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45"/>
              <w:gridCol w:w="1476"/>
              <w:gridCol w:w="3782"/>
            </w:tblGrid>
            <w:tr w14:paraId="22D5F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1200" w:type="dxa"/>
                  <w:shd w:val="clear" w:color="auto" w:fill="auto"/>
                  <w:vAlign w:val="center"/>
                </w:tcPr>
                <w:p w14:paraId="3252A63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服务类别</w:t>
                  </w:r>
                </w:p>
              </w:tc>
              <w:tc>
                <w:tcPr>
                  <w:tcW w:w="1446" w:type="dxa"/>
                  <w:shd w:val="clear" w:color="auto" w:fill="auto"/>
                  <w:vAlign w:val="center"/>
                </w:tcPr>
                <w:p w14:paraId="5CEC5E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具体参数要求</w:t>
                  </w:r>
                </w:p>
              </w:tc>
              <w:tc>
                <w:tcPr>
                  <w:tcW w:w="3737" w:type="dxa"/>
                  <w:shd w:val="clear" w:color="auto" w:fill="auto"/>
                  <w:vAlign w:val="center"/>
                </w:tcPr>
                <w:p w14:paraId="0770A0B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量化指标</w:t>
                  </w:r>
                </w:p>
              </w:tc>
            </w:tr>
            <w:tr w14:paraId="45FC2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00" w:type="dxa"/>
                  <w:shd w:val="clear" w:color="auto" w:fill="auto"/>
                  <w:vAlign w:val="center"/>
                </w:tcPr>
                <w:p w14:paraId="3388630F">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临床验</w:t>
                  </w:r>
                </w:p>
                <w:p w14:paraId="09D7BCF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证支持</w:t>
                  </w:r>
                </w:p>
              </w:tc>
              <w:tc>
                <w:tcPr>
                  <w:tcW w:w="1446" w:type="dxa"/>
                  <w:shd w:val="clear" w:color="auto" w:fill="auto"/>
                  <w:vAlign w:val="center"/>
                </w:tcPr>
                <w:p w14:paraId="28E85D99">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数据对接</w:t>
                  </w:r>
                </w:p>
              </w:tc>
              <w:tc>
                <w:tcPr>
                  <w:tcW w:w="3737" w:type="dxa"/>
                  <w:shd w:val="clear" w:color="auto" w:fill="auto"/>
                  <w:vAlign w:val="center"/>
                </w:tcPr>
                <w:p w14:paraId="1450952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对 10 台验证手术的录制视频进行自动标注，输出标注结果供主研单位对比分析</w:t>
                  </w:r>
                  <w:r>
                    <w:rPr>
                      <w:rFonts w:hint="eastAsia" w:ascii="宋体" w:hAnsi="宋体" w:eastAsia="宋体" w:cs="宋体"/>
                      <w:color w:val="000000"/>
                      <w:kern w:val="0"/>
                      <w:sz w:val="24"/>
                      <w:szCs w:val="24"/>
                      <w:lang w:val="en-US" w:eastAsia="zh-CN" w:bidi="ar"/>
                    </w:rPr>
                    <w:t>。</w:t>
                  </w:r>
                </w:p>
              </w:tc>
            </w:tr>
            <w:tr w14:paraId="3E01A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00" w:type="dxa"/>
                  <w:shd w:val="clear" w:color="auto" w:fill="auto"/>
                  <w:vAlign w:val="center"/>
                </w:tcPr>
                <w:p w14:paraId="51224AA6">
                  <w:pPr>
                    <w:rPr>
                      <w:rFonts w:hint="eastAsia" w:ascii="宋体"/>
                      <w:color w:val="000000"/>
                      <w:sz w:val="24"/>
                      <w:szCs w:val="24"/>
                    </w:rPr>
                  </w:pPr>
                </w:p>
              </w:tc>
              <w:tc>
                <w:tcPr>
                  <w:tcW w:w="1446" w:type="dxa"/>
                  <w:shd w:val="clear" w:color="auto" w:fill="auto"/>
                  <w:vAlign w:val="center"/>
                </w:tcPr>
                <w:p w14:paraId="4763D706">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效果评估</w:t>
                  </w:r>
                </w:p>
              </w:tc>
              <w:tc>
                <w:tcPr>
                  <w:tcW w:w="3737" w:type="dxa"/>
                  <w:shd w:val="clear" w:color="auto" w:fill="auto"/>
                  <w:vAlign w:val="center"/>
                </w:tcPr>
                <w:p w14:paraId="53F06897">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协助主研单位统计标注准确率、关键结构漏检率，形成模型性能评估报告</w:t>
                  </w:r>
                  <w:r>
                    <w:rPr>
                      <w:rFonts w:hint="eastAsia" w:ascii="宋体" w:hAnsi="宋体" w:eastAsia="宋体" w:cs="宋体"/>
                      <w:color w:val="000000"/>
                      <w:kern w:val="0"/>
                      <w:sz w:val="24"/>
                      <w:szCs w:val="24"/>
                      <w:lang w:val="en-US" w:eastAsia="zh-CN" w:bidi="ar"/>
                    </w:rPr>
                    <w:t>。</w:t>
                  </w:r>
                </w:p>
              </w:tc>
            </w:tr>
            <w:tr w14:paraId="2A89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42" w:hRule="atLeast"/>
                <w:tblCellSpacing w:w="15" w:type="dxa"/>
              </w:trPr>
              <w:tc>
                <w:tcPr>
                  <w:tcW w:w="1200" w:type="dxa"/>
                  <w:shd w:val="clear" w:color="auto" w:fill="auto"/>
                  <w:vAlign w:val="center"/>
                </w:tcPr>
                <w:p w14:paraId="746EB917">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专利与转化</w:t>
                  </w:r>
                </w:p>
              </w:tc>
              <w:tc>
                <w:tcPr>
                  <w:tcW w:w="1446" w:type="dxa"/>
                  <w:shd w:val="clear" w:color="auto" w:fill="auto"/>
                  <w:vAlign w:val="center"/>
                </w:tcPr>
                <w:p w14:paraId="7B699542">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知识产权</w:t>
                  </w:r>
                </w:p>
              </w:tc>
              <w:tc>
                <w:tcPr>
                  <w:tcW w:w="3737" w:type="dxa"/>
                  <w:shd w:val="clear" w:color="auto" w:fill="auto"/>
                  <w:vAlign w:val="center"/>
                </w:tcPr>
                <w:p w14:paraId="60ADC1FF">
                  <w:pPr>
                    <w:pStyle w:val="10"/>
                    <w:spacing w:before="30" w:line="360" w:lineRule="auto"/>
                    <w:ind w:left="102" w:firstLine="9"/>
                    <w:jc w:val="both"/>
                    <w:rPr>
                      <w:color w:val="000000"/>
                      <w:sz w:val="24"/>
                      <w:szCs w:val="24"/>
                    </w:rPr>
                  </w:pPr>
                  <w:r>
                    <w:rPr>
                      <w:rFonts w:hint="eastAsia" w:cs="宋体"/>
                      <w:snapToGrid w:val="0"/>
                      <w:color w:val="000000"/>
                      <w:kern w:val="0"/>
                      <w:sz w:val="24"/>
                      <w:szCs w:val="24"/>
                      <w:lang w:val="en-US" w:eastAsia="zh-CN" w:bidi="ar"/>
                    </w:rPr>
                    <w:t>个性化开发部分归属医院自有产权</w:t>
                  </w:r>
                  <w:r>
                    <w:rPr>
                      <w:rFonts w:hint="eastAsia"/>
                      <w:spacing w:val="-10"/>
                      <w:lang w:eastAsia="zh-CN"/>
                    </w:rPr>
                    <w:t>。</w:t>
                  </w:r>
                  <w:r>
                    <w:rPr>
                      <w:rFonts w:ascii="宋体" w:hAnsi="宋体" w:eastAsia="宋体" w:cs="宋体"/>
                      <w:snapToGrid w:val="0"/>
                      <w:color w:val="000000"/>
                      <w:kern w:val="0"/>
                      <w:sz w:val="24"/>
                      <w:szCs w:val="24"/>
                      <w:lang w:val="en-US" w:eastAsia="zh-CN" w:bidi="ar"/>
                    </w:rPr>
                    <w:t>协助该项目衍生的软件科研成果转化，包括：</w:t>
                  </w:r>
                  <w:r>
                    <w:rPr>
                      <w:rFonts w:ascii="宋体" w:hAnsi="宋体" w:eastAsia="宋体" w:cs="宋体"/>
                      <w:sz w:val="24"/>
                      <w:szCs w:val="24"/>
                    </w:rPr>
                    <w:t>协助医院完成 1 项发明专利申报（识别技术）</w:t>
                  </w:r>
                  <w:r>
                    <w:rPr>
                      <w:rFonts w:hint="eastAsia" w:ascii="宋体" w:hAnsi="宋体" w:eastAsia="宋体" w:cs="宋体"/>
                      <w:sz w:val="24"/>
                      <w:szCs w:val="24"/>
                      <w:lang w:eastAsia="zh-CN"/>
                    </w:rPr>
                    <w:t>；</w:t>
                  </w:r>
                  <w:r>
                    <w:rPr>
                      <w:rFonts w:ascii="宋体" w:hAnsi="宋体" w:eastAsia="宋体" w:cs="宋体"/>
                      <w:color w:val="000000"/>
                      <w:kern w:val="0"/>
                      <w:sz w:val="24"/>
                      <w:szCs w:val="24"/>
                      <w:lang w:val="en-US" w:eastAsia="zh-CN" w:bidi="ar"/>
                    </w:rPr>
                    <w:t>协助 1 项软件著作权登记</w:t>
                  </w:r>
                  <w:r>
                    <w:rPr>
                      <w:rFonts w:hint="eastAsia" w:cs="宋体"/>
                      <w:color w:val="000000"/>
                      <w:kern w:val="0"/>
                      <w:sz w:val="24"/>
                      <w:szCs w:val="24"/>
                      <w:lang w:val="en-US" w:eastAsia="zh-CN" w:bidi="ar"/>
                    </w:rPr>
                    <w:t>、</w:t>
                  </w:r>
                  <w:r>
                    <w:rPr>
                      <w:rFonts w:ascii="宋体" w:hAnsi="宋体" w:eastAsia="宋体" w:cs="宋体"/>
                      <w:snapToGrid w:val="0"/>
                      <w:color w:val="000000"/>
                      <w:kern w:val="0"/>
                      <w:sz w:val="24"/>
                      <w:szCs w:val="24"/>
                      <w:lang w:val="en-US" w:eastAsia="zh-CN" w:bidi="ar"/>
                    </w:rPr>
                    <w:t>研究论文发布等；</w:t>
                  </w:r>
                </w:p>
              </w:tc>
            </w:tr>
            <w:tr w14:paraId="15730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1200" w:type="dxa"/>
                  <w:shd w:val="clear" w:color="auto" w:fill="auto"/>
                  <w:vAlign w:val="center"/>
                </w:tcPr>
                <w:p w14:paraId="49123DFD">
                  <w:pPr>
                    <w:rPr>
                      <w:rFonts w:hint="eastAsia" w:ascii="宋体"/>
                      <w:color w:val="000000"/>
                      <w:sz w:val="24"/>
                      <w:szCs w:val="24"/>
                    </w:rPr>
                  </w:pPr>
                </w:p>
                <w:p w14:paraId="774BD7B6">
                  <w:pPr>
                    <w:rPr>
                      <w:rFonts w:hint="eastAsia" w:ascii="宋体"/>
                      <w:color w:val="000000"/>
                      <w:sz w:val="24"/>
                      <w:szCs w:val="24"/>
                    </w:rPr>
                  </w:pPr>
                </w:p>
                <w:p w14:paraId="5BC0A585">
                  <w:pPr>
                    <w:rPr>
                      <w:rFonts w:hint="eastAsia" w:ascii="宋体"/>
                      <w:color w:val="000000"/>
                      <w:sz w:val="24"/>
                      <w:szCs w:val="24"/>
                    </w:rPr>
                  </w:pPr>
                </w:p>
                <w:p w14:paraId="52AE2AB3">
                  <w:pPr>
                    <w:rPr>
                      <w:rFonts w:hint="eastAsia" w:ascii="宋体"/>
                      <w:color w:val="000000"/>
                      <w:sz w:val="24"/>
                      <w:szCs w:val="24"/>
                    </w:rPr>
                  </w:pPr>
                </w:p>
              </w:tc>
              <w:tc>
                <w:tcPr>
                  <w:tcW w:w="1446" w:type="dxa"/>
                  <w:shd w:val="clear" w:color="auto" w:fill="auto"/>
                  <w:vAlign w:val="center"/>
                </w:tcPr>
                <w:p w14:paraId="653BDB15">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技术支持</w:t>
                  </w:r>
                </w:p>
              </w:tc>
              <w:tc>
                <w:tcPr>
                  <w:tcW w:w="3737" w:type="dxa"/>
                  <w:shd w:val="clear" w:color="auto" w:fill="auto"/>
                  <w:vAlign w:val="center"/>
                </w:tcPr>
                <w:p w14:paraId="0A3E028D">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提供软件模块使用培训（线上 + 线下 1 次），质保期 1 年（含 bug 修复，不含功能升级）</w:t>
                  </w:r>
                  <w:r>
                    <w:rPr>
                      <w:rFonts w:hint="eastAsia" w:ascii="宋体" w:hAnsi="宋体" w:eastAsia="宋体" w:cs="宋体"/>
                      <w:color w:val="000000"/>
                      <w:kern w:val="0"/>
                      <w:sz w:val="24"/>
                      <w:szCs w:val="24"/>
                      <w:lang w:val="en-US" w:eastAsia="zh-CN" w:bidi="ar"/>
                    </w:rPr>
                    <w:t>。</w:t>
                  </w:r>
                </w:p>
              </w:tc>
            </w:tr>
          </w:tbl>
          <w:p w14:paraId="4A1E2533">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通用</w:t>
            </w:r>
            <w:r>
              <w:rPr>
                <w:rFonts w:ascii="宋体" w:hAnsi="宋体" w:eastAsia="宋体" w:cs="宋体"/>
                <w:color w:val="000000"/>
                <w:kern w:val="0"/>
                <w:sz w:val="24"/>
                <w:szCs w:val="24"/>
                <w:lang w:val="en-US" w:eastAsia="zh-CN" w:bidi="ar"/>
              </w:rPr>
              <w:t>服务参数</w:t>
            </w:r>
          </w:p>
          <w:tbl>
            <w:tblPr>
              <w:tblStyle w:val="6"/>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40"/>
              <w:gridCol w:w="1472"/>
              <w:gridCol w:w="3777"/>
            </w:tblGrid>
            <w:tr w14:paraId="00E52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blCellSpacing w:w="15" w:type="dxa"/>
              </w:trPr>
              <w:tc>
                <w:tcPr>
                  <w:tcW w:w="1195" w:type="dxa"/>
                  <w:shd w:val="clear" w:color="auto" w:fill="auto"/>
                  <w:vAlign w:val="center"/>
                </w:tcPr>
                <w:p w14:paraId="5EF31ACD">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服务类别</w:t>
                  </w:r>
                </w:p>
              </w:tc>
              <w:tc>
                <w:tcPr>
                  <w:tcW w:w="1442" w:type="dxa"/>
                  <w:shd w:val="clear" w:color="auto" w:fill="auto"/>
                  <w:vAlign w:val="center"/>
                </w:tcPr>
                <w:p w14:paraId="58A2A926">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具体参数</w:t>
                  </w:r>
                </w:p>
                <w:p w14:paraId="19C09C2C">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要求</w:t>
                  </w:r>
                </w:p>
              </w:tc>
              <w:tc>
                <w:tcPr>
                  <w:tcW w:w="3732" w:type="dxa"/>
                  <w:shd w:val="clear" w:color="auto" w:fill="auto"/>
                  <w:vAlign w:val="center"/>
                </w:tcPr>
                <w:p w14:paraId="16E36477">
                  <w:pPr>
                    <w:keepNext w:val="0"/>
                    <w:keepLines w:val="0"/>
                    <w:widowControl/>
                    <w:suppressLineNumbers w:val="0"/>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量化指标</w:t>
                  </w:r>
                </w:p>
              </w:tc>
            </w:tr>
            <w:tr w14:paraId="2B2FA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195" w:type="dxa"/>
                  <w:shd w:val="clear" w:color="auto" w:fill="auto"/>
                  <w:vAlign w:val="center"/>
                </w:tcPr>
                <w:p w14:paraId="78190C8F">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项目周期</w:t>
                  </w:r>
                </w:p>
              </w:tc>
              <w:tc>
                <w:tcPr>
                  <w:tcW w:w="1442" w:type="dxa"/>
                  <w:shd w:val="clear" w:color="auto" w:fill="auto"/>
                  <w:vAlign w:val="center"/>
                </w:tcPr>
                <w:p w14:paraId="2F827F15">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阶段适配</w:t>
                  </w:r>
                </w:p>
              </w:tc>
              <w:tc>
                <w:tcPr>
                  <w:tcW w:w="3732" w:type="dxa"/>
                  <w:shd w:val="clear" w:color="auto" w:fill="auto"/>
                  <w:vAlign w:val="center"/>
                </w:tcPr>
                <w:p w14:paraId="17BBBCC1">
                  <w:pPr>
                    <w:keepNext w:val="0"/>
                    <w:keepLines w:val="0"/>
                    <w:widowControl/>
                    <w:suppressLineNumbers w:val="0"/>
                    <w:spacing w:before="0" w:beforeAutospacing="0" w:after="0" w:afterAutospacing="0" w:line="360" w:lineRule="atLeast"/>
                    <w:ind w:left="0" w:right="0"/>
                    <w:jc w:val="left"/>
                    <w:rPr>
                      <w:rFonts w:hint="default"/>
                      <w:color w:val="000000"/>
                      <w:sz w:val="24"/>
                      <w:szCs w:val="24"/>
                      <w:lang w:val="en-US"/>
                    </w:rPr>
                  </w:pPr>
                  <w:r>
                    <w:rPr>
                      <w:rFonts w:hint="eastAsia" w:ascii="宋体" w:hAnsi="宋体" w:eastAsia="宋体" w:cs="宋体"/>
                      <w:color w:val="000000"/>
                      <w:kern w:val="0"/>
                      <w:sz w:val="24"/>
                      <w:szCs w:val="24"/>
                      <w:highlight w:val="yellow"/>
                      <w:lang w:val="en-US" w:eastAsia="zh-CN" w:bidi="ar"/>
                    </w:rPr>
                    <w:t>3</w:t>
                  </w:r>
                  <w:r>
                    <w:rPr>
                      <w:rFonts w:ascii="宋体" w:hAnsi="宋体" w:eastAsia="宋体" w:cs="宋体"/>
                      <w:color w:val="000000"/>
                      <w:kern w:val="0"/>
                      <w:sz w:val="24"/>
                      <w:szCs w:val="24"/>
                      <w:highlight w:val="yellow"/>
                      <w:lang w:val="en-US" w:eastAsia="zh-CN" w:bidi="ar"/>
                    </w:rPr>
                    <w:t>个月</w:t>
                  </w:r>
                  <w:r>
                    <w:rPr>
                      <w:rFonts w:hint="eastAsia" w:ascii="宋体" w:hAnsi="宋体" w:eastAsia="宋体" w:cs="宋体"/>
                      <w:color w:val="000000"/>
                      <w:kern w:val="0"/>
                      <w:sz w:val="24"/>
                      <w:szCs w:val="24"/>
                      <w:highlight w:val="yellow"/>
                      <w:lang w:val="en-US" w:eastAsia="zh-CN" w:bidi="ar"/>
                    </w:rPr>
                    <w:t>内</w:t>
                  </w:r>
                  <w:r>
                    <w:rPr>
                      <w:rFonts w:ascii="宋体" w:hAnsi="宋体" w:eastAsia="宋体" w:cs="宋体"/>
                      <w:color w:val="000000"/>
                      <w:kern w:val="0"/>
                      <w:sz w:val="24"/>
                      <w:szCs w:val="24"/>
                      <w:highlight w:val="yellow"/>
                      <w:lang w:val="en-US" w:eastAsia="zh-CN" w:bidi="ar"/>
                    </w:rPr>
                    <w:t>完成研发优化，</w:t>
                  </w:r>
                  <w:r>
                    <w:rPr>
                      <w:rFonts w:hint="eastAsia" w:ascii="宋体" w:hAnsi="宋体" w:eastAsia="宋体" w:cs="宋体"/>
                      <w:color w:val="000000"/>
                      <w:kern w:val="0"/>
                      <w:sz w:val="24"/>
                      <w:szCs w:val="24"/>
                      <w:highlight w:val="yellow"/>
                      <w:lang w:val="en-US" w:eastAsia="zh-CN" w:bidi="ar"/>
                    </w:rPr>
                    <w:t>另外3</w:t>
                  </w:r>
                  <w:r>
                    <w:rPr>
                      <w:rFonts w:ascii="宋体" w:hAnsi="宋体" w:eastAsia="宋体" w:cs="宋体"/>
                      <w:color w:val="000000"/>
                      <w:kern w:val="0"/>
                      <w:sz w:val="24"/>
                      <w:szCs w:val="24"/>
                      <w:highlight w:val="yellow"/>
                      <w:lang w:val="en-US" w:eastAsia="zh-CN" w:bidi="ar"/>
                    </w:rPr>
                    <w:t>个月配合临床验证</w:t>
                  </w:r>
                  <w:r>
                    <w:rPr>
                      <w:rFonts w:hint="eastAsia" w:ascii="宋体" w:hAnsi="宋体" w:eastAsia="宋体" w:cs="宋体"/>
                      <w:color w:val="000000"/>
                      <w:kern w:val="0"/>
                      <w:sz w:val="24"/>
                      <w:szCs w:val="24"/>
                      <w:highlight w:val="yellow"/>
                      <w:lang w:val="en-US" w:eastAsia="zh-CN" w:bidi="ar"/>
                    </w:rPr>
                    <w:t>.整体项目完成时间≤6个月。</w:t>
                  </w:r>
                  <w:bookmarkStart w:id="0" w:name="_GoBack"/>
                  <w:bookmarkEnd w:id="0"/>
                </w:p>
              </w:tc>
            </w:tr>
            <w:tr w14:paraId="12810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195" w:type="dxa"/>
                  <w:shd w:val="clear" w:color="auto" w:fill="auto"/>
                  <w:vAlign w:val="center"/>
                </w:tcPr>
                <w:p w14:paraId="7DFFD0BA">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数据安全</w:t>
                  </w:r>
                </w:p>
              </w:tc>
              <w:tc>
                <w:tcPr>
                  <w:tcW w:w="1442" w:type="dxa"/>
                  <w:shd w:val="clear" w:color="auto" w:fill="auto"/>
                  <w:vAlign w:val="center"/>
                </w:tcPr>
                <w:p w14:paraId="4373084E">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合规要求</w:t>
                  </w:r>
                </w:p>
              </w:tc>
              <w:tc>
                <w:tcPr>
                  <w:tcW w:w="3732" w:type="dxa"/>
                  <w:shd w:val="clear" w:color="auto" w:fill="auto"/>
                  <w:vAlign w:val="center"/>
                </w:tcPr>
                <w:p w14:paraId="5D7BD0E5">
                  <w:pPr>
                    <w:keepNext w:val="0"/>
                    <w:keepLines w:val="0"/>
                    <w:widowControl/>
                    <w:suppressLineNumbers w:val="0"/>
                    <w:spacing w:before="0" w:beforeAutospacing="0" w:after="0" w:afterAutospacing="0" w:line="360" w:lineRule="atLeast"/>
                    <w:ind w:left="0" w:right="0"/>
                    <w:jc w:val="left"/>
                    <w:rPr>
                      <w:rFonts w:hint="default"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签订保密协议，符合《数据安全法》《个人信息保护法》，临床数据零泄露</w:t>
                  </w:r>
                  <w:r>
                    <w:rPr>
                      <w:rFonts w:hint="eastAsia" w:ascii="宋体" w:hAnsi="宋体" w:eastAsia="宋体" w:cs="宋体"/>
                      <w:color w:val="000000"/>
                      <w:kern w:val="0"/>
                      <w:sz w:val="24"/>
                      <w:szCs w:val="24"/>
                      <w:lang w:val="en-US" w:eastAsia="zh-CN" w:bidi="ar"/>
                    </w:rPr>
                    <w:t>。</w:t>
                  </w:r>
                </w:p>
              </w:tc>
            </w:tr>
            <w:tr w14:paraId="1B4E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195" w:type="dxa"/>
                  <w:shd w:val="clear" w:color="auto" w:fill="auto"/>
                  <w:vAlign w:val="center"/>
                </w:tcPr>
                <w:p w14:paraId="712BF660">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文档交付</w:t>
                  </w:r>
                </w:p>
              </w:tc>
              <w:tc>
                <w:tcPr>
                  <w:tcW w:w="1442" w:type="dxa"/>
                  <w:shd w:val="clear" w:color="auto" w:fill="auto"/>
                  <w:vAlign w:val="center"/>
                </w:tcPr>
                <w:p w14:paraId="38D3ACCC">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交付清单</w:t>
                  </w:r>
                </w:p>
              </w:tc>
              <w:tc>
                <w:tcPr>
                  <w:tcW w:w="3732" w:type="dxa"/>
                  <w:shd w:val="clear" w:color="auto" w:fill="auto"/>
                  <w:vAlign w:val="center"/>
                </w:tcPr>
                <w:p w14:paraId="18A28E78">
                  <w:pPr>
                    <w:keepNext w:val="0"/>
                    <w:keepLines w:val="0"/>
                    <w:widowControl/>
                    <w:suppressLineNumbers w:val="0"/>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数据标注报告、模型训练日志、算法说明书、软件操作手册、性能测试报告</w:t>
                  </w:r>
                  <w:r>
                    <w:rPr>
                      <w:rFonts w:hint="eastAsia" w:ascii="宋体" w:hAnsi="宋体" w:eastAsia="宋体" w:cs="宋体"/>
                      <w:color w:val="000000"/>
                      <w:kern w:val="0"/>
                      <w:sz w:val="24"/>
                      <w:szCs w:val="24"/>
                      <w:lang w:val="en-US" w:eastAsia="zh-CN" w:bidi="ar"/>
                    </w:rPr>
                    <w:t>。</w:t>
                  </w:r>
                </w:p>
              </w:tc>
            </w:tr>
          </w:tbl>
          <w:p w14:paraId="6EA82E62">
            <w:pPr>
              <w:pStyle w:val="10"/>
              <w:numPr>
                <w:ilvl w:val="0"/>
                <w:numId w:val="0"/>
              </w:numPr>
              <w:spacing w:before="9" w:line="360" w:lineRule="auto"/>
              <w:jc w:val="both"/>
              <w:rPr>
                <w:spacing w:val="5"/>
              </w:rPr>
            </w:pPr>
          </w:p>
          <w:p w14:paraId="1102E204">
            <w:pPr>
              <w:pStyle w:val="10"/>
              <w:numPr>
                <w:ilvl w:val="0"/>
                <w:numId w:val="0"/>
              </w:numPr>
              <w:spacing w:before="9" w:line="360" w:lineRule="auto"/>
              <w:jc w:val="both"/>
              <w:rPr>
                <w:spacing w:val="5"/>
              </w:rPr>
            </w:pPr>
          </w:p>
          <w:p w14:paraId="3B3C79ED">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6.硬件租赁服务</w:t>
            </w:r>
          </w:p>
          <w:p w14:paraId="5C713C5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rPr>
                <w:color w:val="000000"/>
                <w:sz w:val="19"/>
                <w:szCs w:val="19"/>
              </w:rPr>
            </w:pPr>
          </w:p>
          <w:p w14:paraId="0363EAAE">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GPU 服务器集群（2 台独立节点）</w:t>
            </w:r>
          </w:p>
          <w:p w14:paraId="475698AC">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p>
          <w:p w14:paraId="7D81A0CA">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集群 INT8 精度算力≥800 TOPS；单节点 FP16≥100 TFLOPS；</w:t>
            </w:r>
          </w:p>
          <w:p w14:paraId="6AC1241C">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单节点：≥20 核高性能 CPU、内存≥100GB、单卡显存≥120GB、NVMe 本地存储≥3TB；</w:t>
            </w:r>
          </w:p>
          <w:p w14:paraId="1D212744">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节点间互联带宽≥200Gbps，支持分布式训练；</w:t>
            </w:r>
          </w:p>
          <w:p w14:paraId="60813A3E">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系统：Ubuntu 22.04 LTS，支持 Docker、K8s；</w:t>
            </w:r>
          </w:p>
          <w:p w14:paraId="6B3D6CDE">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服务可用率≥95%，故障响应≤3 小时，月度可用率≥80%。</w:t>
            </w:r>
          </w:p>
          <w:p w14:paraId="69F740F2">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p>
          <w:p w14:paraId="4FB14298">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p>
          <w:p w14:paraId="5430011C">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通用服务参数</w:t>
            </w:r>
          </w:p>
          <w:p w14:paraId="4147C5BE">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p>
          <w:p w14:paraId="3730F16C">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安全维护：定期补丁更新，防网络攻击，符合《数据安全法》《个人信息保护法》；</w:t>
            </w:r>
          </w:p>
          <w:p w14:paraId="07DA9193">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数据备份：定期全量备份，提供恢复方案，临床数据零泄露；</w:t>
            </w:r>
          </w:p>
          <w:p w14:paraId="3B08EB94">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技术支持：7×12 小时响应，提供咨询、调试、数据提取、问题解决；</w:t>
            </w:r>
          </w:p>
          <w:p w14:paraId="3507B4E5">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远程访问：SSH+VPN + 多因素认证，操作日志留存≥180 天。</w:t>
            </w:r>
          </w:p>
          <w:p w14:paraId="787233D0">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p>
          <w:p w14:paraId="2104AAF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rPr>
                <w:rFonts w:hint="eastAsia" w:ascii="宋体" w:hAnsi="宋体" w:eastAsia="宋体" w:cs="宋体"/>
                <w:b w:val="0"/>
                <w:bCs w:val="0"/>
                <w:snapToGrid w:val="0"/>
                <w:color w:val="000000"/>
                <w:kern w:val="0"/>
                <w:sz w:val="24"/>
                <w:szCs w:val="24"/>
                <w:lang w:val="en-US" w:eastAsia="zh-CN" w:bidi="ar-SA"/>
              </w:rPr>
            </w:pPr>
          </w:p>
          <w:p w14:paraId="3734F8D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rPr>
                <w:rFonts w:hint="eastAsia" w:ascii="宋体" w:hAnsi="宋体" w:eastAsia="宋体" w:cs="宋体"/>
                <w:b w:val="0"/>
                <w:bCs w:val="0"/>
                <w:snapToGrid w:val="0"/>
                <w:color w:val="000000"/>
                <w:kern w:val="0"/>
                <w:sz w:val="24"/>
                <w:szCs w:val="24"/>
                <w:lang w:val="en-US" w:eastAsia="zh-CN" w:bidi="ar-SA"/>
              </w:rPr>
            </w:pPr>
          </w:p>
          <w:p w14:paraId="6ABA62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宋体" w:hAnsi="宋体" w:eastAsia="宋体" w:cs="宋体"/>
                <w:b/>
                <w:bCs/>
                <w:snapToGrid w:val="0"/>
                <w:color w:val="000000"/>
                <w:kern w:val="0"/>
                <w:sz w:val="24"/>
                <w:szCs w:val="24"/>
                <w:lang w:val="en-US" w:eastAsia="zh-CN" w:bidi="ar-SA"/>
              </w:rPr>
            </w:pPr>
            <w:r>
              <w:rPr>
                <w:rFonts w:hint="eastAsia" w:cs="宋体"/>
                <w:b/>
                <w:bCs/>
                <w:snapToGrid w:val="0"/>
                <w:color w:val="000000"/>
                <w:kern w:val="0"/>
                <w:sz w:val="24"/>
                <w:szCs w:val="24"/>
                <w:lang w:val="en-US" w:eastAsia="zh-CN" w:bidi="ar-SA"/>
              </w:rPr>
              <w:t>四</w:t>
            </w:r>
            <w:r>
              <w:rPr>
                <w:rFonts w:hint="eastAsia" w:ascii="宋体" w:hAnsi="宋体" w:eastAsia="宋体" w:cs="宋体"/>
                <w:b/>
                <w:bCs/>
                <w:snapToGrid w:val="0"/>
                <w:color w:val="000000"/>
                <w:kern w:val="0"/>
                <w:sz w:val="24"/>
                <w:szCs w:val="24"/>
                <w:lang w:val="en-US" w:eastAsia="zh-CN" w:bidi="ar-SA"/>
              </w:rPr>
              <w:t>、数据资产移交与归属</w:t>
            </w:r>
          </w:p>
          <w:p w14:paraId="7E2E8F8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全部源代码、数据库、模型、UI、API、测试报告、运维脚本等资产归医院所有；</w:t>
            </w:r>
          </w:p>
          <w:p w14:paraId="0D5138F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所有交付物存入甲方指定仓库，甲方拥有最高管理、审计、部署权限；</w:t>
            </w:r>
          </w:p>
          <w:p w14:paraId="35A434D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项目结束/人员离岗：完成代码合并、文档更新、≥2 次知识转移培训；</w:t>
            </w:r>
          </w:p>
          <w:p w14:paraId="505C24C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hanging="360"/>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医院可随时调整任务优先级，乙方 3 天内响应调整。</w:t>
            </w:r>
          </w:p>
          <w:p w14:paraId="5418C6D8">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snapToGrid w:val="0"/>
                <w:color w:val="000000"/>
                <w:kern w:val="0"/>
                <w:sz w:val="24"/>
                <w:szCs w:val="24"/>
                <w:lang w:val="en-US" w:eastAsia="zh-CN" w:bidi="ar-SA"/>
              </w:rPr>
            </w:pPr>
          </w:p>
          <w:p w14:paraId="40EFFA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rPr>
                <w:rFonts w:hint="eastAsia" w:ascii="宋体" w:hAnsi="宋体" w:eastAsia="宋体" w:cs="宋体"/>
                <w:b/>
                <w:bCs/>
                <w:snapToGrid w:val="0"/>
                <w:color w:val="000000"/>
                <w:kern w:val="0"/>
                <w:sz w:val="24"/>
                <w:szCs w:val="24"/>
                <w:lang w:val="en-US" w:eastAsia="zh-CN" w:bidi="ar-SA"/>
              </w:rPr>
            </w:pPr>
            <w:r>
              <w:rPr>
                <w:rFonts w:hint="eastAsia" w:cs="宋体"/>
                <w:b/>
                <w:bCs/>
                <w:snapToGrid w:val="0"/>
                <w:color w:val="000000"/>
                <w:kern w:val="0"/>
                <w:sz w:val="24"/>
                <w:szCs w:val="24"/>
                <w:lang w:val="en-US" w:eastAsia="zh-CN" w:bidi="ar-SA"/>
              </w:rPr>
              <w:t>五</w:t>
            </w:r>
            <w:r>
              <w:rPr>
                <w:rFonts w:hint="eastAsia" w:ascii="宋体" w:hAnsi="宋体" w:eastAsia="宋体" w:cs="宋体"/>
                <w:b/>
                <w:bCs/>
                <w:snapToGrid w:val="0"/>
                <w:color w:val="000000"/>
                <w:kern w:val="0"/>
                <w:sz w:val="24"/>
                <w:szCs w:val="24"/>
                <w:lang w:val="en-US" w:eastAsia="zh-CN" w:bidi="ar-SA"/>
              </w:rPr>
              <w:t>、验收标准</w:t>
            </w:r>
          </w:p>
          <w:p w14:paraId="5C83159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完成163 例样本数据集构建，7类结构识别准确率≥95%；</w:t>
            </w:r>
          </w:p>
          <w:p w14:paraId="2FCA090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交付可运行AI 识别 + 预警 + 动态导航模块；</w:t>
            </w:r>
          </w:p>
          <w:p w14:paraId="2A502A4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完成10 例临床验证并出具合格报告；</w:t>
            </w:r>
          </w:p>
          <w:p w14:paraId="3A8028D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宋体" w:hAnsi="宋体" w:eastAsia="宋体" w:cs="宋体"/>
                <w:sz w:val="24"/>
                <w:szCs w:val="24"/>
                <w:lang w:eastAsia="zh-CN"/>
              </w:rPr>
            </w:pPr>
            <w:r>
              <w:rPr>
                <w:rFonts w:ascii="宋体" w:hAnsi="宋体" w:eastAsia="宋体" w:cs="宋体"/>
                <w:sz w:val="24"/>
                <w:szCs w:val="24"/>
              </w:rPr>
              <w:t>模块支持后期对接云服务器部署</w:t>
            </w:r>
            <w:r>
              <w:rPr>
                <w:rFonts w:hint="eastAsia" w:ascii="宋体" w:hAnsi="宋体" w:eastAsia="宋体" w:cs="宋体"/>
                <w:sz w:val="24"/>
                <w:szCs w:val="24"/>
                <w:lang w:eastAsia="zh-CN"/>
              </w:rPr>
              <w:t>；</w:t>
            </w:r>
          </w:p>
          <w:p w14:paraId="7CEB81D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交付全套源代码、模型、文档等材料；</w:t>
            </w:r>
          </w:p>
          <w:p w14:paraId="19FEAA3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满足该科技局重大课题验收、成果转化、科技局评审要求。</w:t>
            </w:r>
          </w:p>
          <w:p w14:paraId="24B8CB62">
            <w:pPr>
              <w:keepNext w:val="0"/>
              <w:keepLines w:val="0"/>
              <w:widowControl/>
              <w:suppressLineNumbers w:val="0"/>
              <w:spacing w:before="0" w:beforeAutospacing="0" w:after="0" w:afterAutospacing="0" w:line="360" w:lineRule="atLeast"/>
              <w:ind w:left="0" w:right="0"/>
              <w:jc w:val="left"/>
              <w:rPr>
                <w:rFonts w:hint="eastAsia" w:ascii="宋体" w:hAnsi="宋体" w:eastAsia="宋体" w:cs="宋体"/>
                <w:b w:val="0"/>
                <w:bCs w:val="0"/>
                <w:color w:val="000000"/>
                <w:sz w:val="24"/>
                <w:szCs w:val="24"/>
                <w:lang w:val="en-US" w:eastAsia="zh-CN"/>
              </w:rPr>
            </w:pPr>
          </w:p>
          <w:p w14:paraId="0216C23C">
            <w:pPr>
              <w:pStyle w:val="10"/>
              <w:numPr>
                <w:ilvl w:val="0"/>
                <w:numId w:val="4"/>
              </w:numPr>
              <w:spacing w:before="9" w:line="360" w:lineRule="auto"/>
              <w:jc w:val="both"/>
              <w:rPr>
                <w:rFonts w:hint="eastAsia" w:ascii="宋体" w:hAnsi="宋体" w:eastAsia="宋体" w:cs="宋体"/>
                <w:b w:val="0"/>
                <w:bCs w:val="0"/>
                <w:snapToGrid w:val="0"/>
                <w:color w:val="000000"/>
                <w:kern w:val="0"/>
                <w:sz w:val="24"/>
                <w:szCs w:val="24"/>
                <w:lang w:val="en-US" w:eastAsia="zh-CN" w:bidi="ar-SA"/>
              </w:rPr>
            </w:pPr>
            <w:r>
              <w:rPr>
                <w:rFonts w:hint="eastAsia" w:cs="宋体"/>
                <w:b w:val="0"/>
                <w:bCs w:val="0"/>
                <w:snapToGrid w:val="0"/>
                <w:color w:val="000000"/>
                <w:kern w:val="0"/>
                <w:sz w:val="24"/>
                <w:szCs w:val="24"/>
                <w:lang w:val="en-US" w:eastAsia="zh-CN" w:bidi="ar-SA"/>
              </w:rPr>
              <w:t>本</w:t>
            </w:r>
            <w:r>
              <w:rPr>
                <w:rFonts w:hint="eastAsia" w:ascii="宋体" w:hAnsi="宋体" w:eastAsia="宋体" w:cs="宋体"/>
                <w:b w:val="0"/>
                <w:bCs w:val="0"/>
                <w:snapToGrid w:val="0"/>
                <w:color w:val="000000"/>
                <w:kern w:val="0"/>
                <w:sz w:val="24"/>
                <w:szCs w:val="24"/>
                <w:lang w:val="en-US" w:eastAsia="zh-CN" w:bidi="ar-SA"/>
              </w:rPr>
              <w:t>项目内容应涵盖完成医学影像图像分析和构建人工智能模型服务采购项目的所有内容，本次报价费用包括并不限于分析处理资源、存储资源、互联网带宽资源(若涉及)等。</w:t>
            </w:r>
          </w:p>
          <w:p w14:paraId="107C0864">
            <w:pPr>
              <w:pStyle w:val="10"/>
              <w:numPr>
                <w:ilvl w:val="0"/>
                <w:numId w:val="4"/>
              </w:numPr>
              <w:spacing w:before="9" w:line="360" w:lineRule="auto"/>
              <w:jc w:val="both"/>
              <w:rPr>
                <w:rFonts w:hint="default" w:eastAsia="宋体"/>
                <w:spacing w:val="5"/>
                <w:lang w:val="en-US" w:eastAsia="zh-CN"/>
              </w:rPr>
            </w:pPr>
            <w:r>
              <w:rPr>
                <w:rFonts w:hint="eastAsia"/>
                <w:spacing w:val="5"/>
                <w:lang w:val="en-US" w:eastAsia="zh-CN"/>
              </w:rPr>
              <w:t>其他要求</w:t>
            </w:r>
          </w:p>
          <w:p w14:paraId="2F0E215D">
            <w:pPr>
              <w:pStyle w:val="10"/>
              <w:numPr>
                <w:ilvl w:val="0"/>
                <w:numId w:val="0"/>
              </w:numPr>
              <w:spacing w:before="9" w:line="360" w:lineRule="auto"/>
              <w:jc w:val="both"/>
              <w:rPr>
                <w:rFonts w:hint="eastAsia" w:ascii="宋体" w:hAnsi="宋体" w:eastAsia="宋体" w:cs="宋体"/>
                <w:b w:val="0"/>
                <w:bCs w:val="0"/>
                <w:snapToGrid w:val="0"/>
                <w:color w:val="000000"/>
                <w:kern w:val="0"/>
                <w:sz w:val="24"/>
                <w:szCs w:val="24"/>
                <w:lang w:val="en-US" w:eastAsia="zh-CN" w:bidi="ar-SA"/>
              </w:rPr>
            </w:pPr>
            <w:r>
              <w:rPr>
                <w:spacing w:val="-6"/>
              </w:rPr>
              <w:t>-</w:t>
            </w:r>
            <w:r>
              <w:rPr>
                <w:rFonts w:hint="eastAsia" w:ascii="宋体" w:hAnsi="宋体" w:eastAsia="宋体" w:cs="宋体"/>
                <w:b w:val="0"/>
                <w:bCs w:val="0"/>
                <w:snapToGrid w:val="0"/>
                <w:color w:val="000000"/>
                <w:kern w:val="0"/>
                <w:sz w:val="24"/>
                <w:szCs w:val="24"/>
                <w:lang w:val="en-US" w:eastAsia="zh-CN" w:bidi="ar-SA"/>
              </w:rPr>
              <w:t>安全维护：定期更新安全补丁，防范网络攻击，保障数据安；</w:t>
            </w:r>
          </w:p>
          <w:p w14:paraId="5A08DD60">
            <w:pPr>
              <w:pStyle w:val="10"/>
              <w:numPr>
                <w:ilvl w:val="0"/>
                <w:numId w:val="0"/>
              </w:numPr>
              <w:spacing w:before="9" w:line="360" w:lineRule="auto"/>
              <w:jc w:val="both"/>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-数据备份：定期备份数据库和关键数据，提供数据恢复支持；</w:t>
            </w:r>
          </w:p>
          <w:p w14:paraId="09009608">
            <w:pPr>
              <w:pStyle w:val="10"/>
              <w:numPr>
                <w:ilvl w:val="0"/>
                <w:numId w:val="0"/>
              </w:numPr>
              <w:spacing w:before="9" w:line="360" w:lineRule="auto"/>
              <w:jc w:val="both"/>
              <w:rPr>
                <w:rFonts w:hint="eastAsia" w:ascii="宋体" w:hAnsi="宋体" w:eastAsia="宋体" w:cs="宋体"/>
                <w:b w:val="0"/>
                <w:bCs w:val="0"/>
                <w:snapToGrid w:val="0"/>
                <w:color w:val="000000"/>
                <w:kern w:val="0"/>
                <w:sz w:val="24"/>
                <w:szCs w:val="24"/>
                <w:lang w:val="en-US" w:eastAsia="zh-CN" w:bidi="ar-SA"/>
              </w:rPr>
            </w:pPr>
            <w:r>
              <w:rPr>
                <w:rFonts w:hint="eastAsia" w:ascii="宋体" w:hAnsi="宋体" w:eastAsia="宋体" w:cs="宋体"/>
                <w:b w:val="0"/>
                <w:bCs w:val="0"/>
                <w:snapToGrid w:val="0"/>
                <w:color w:val="000000"/>
                <w:kern w:val="0"/>
                <w:sz w:val="24"/>
                <w:szCs w:val="24"/>
                <w:lang w:val="en-US" w:eastAsia="zh-CN" w:bidi="ar-SA"/>
              </w:rPr>
              <w:t>-技术支持：提供技术咨询和问题解答、数据提取，协助医院解决应用模块过程中遇到的问题。</w:t>
            </w:r>
          </w:p>
          <w:p w14:paraId="2A80EAA5">
            <w:pPr>
              <w:pStyle w:val="10"/>
              <w:spacing w:before="19" w:line="360" w:lineRule="auto"/>
              <w:jc w:val="both"/>
              <w:rPr>
                <w:rFonts w:hint="eastAsia"/>
                <w:spacing w:val="11"/>
                <w:lang w:eastAsia="zh-CN"/>
              </w:rPr>
            </w:pPr>
          </w:p>
          <w:p w14:paraId="4E2C6FF1">
            <w:pPr>
              <w:pStyle w:val="10"/>
              <w:spacing w:before="15" w:line="360" w:lineRule="auto"/>
              <w:ind w:left="81" w:hanging="69"/>
              <w:jc w:val="both"/>
              <w:rPr>
                <w:rFonts w:hint="default" w:eastAsia="宋体"/>
                <w:lang w:val="en-US" w:eastAsia="zh-CN"/>
              </w:rPr>
            </w:pPr>
            <w:r>
              <w:rPr>
                <w:rFonts w:hint="eastAsia"/>
                <w:spacing w:val="-1"/>
                <w:lang w:val="en-US" w:eastAsia="zh-CN"/>
              </w:rPr>
              <w:t xml:space="preserve">                                                                                                                                                                                                                                                                                                                                                                                                                                                                                                                                                                                                                                                                                                                                                                                                                                                                                                                                                                                                                                                                                                                                                                                                                                                                                                                                                                                                                                                                                                                                                                                                                                                                                                                                                                                                                                                                                                                                                                                                                                                                                                                                                                                                                                                                                                                                                                                                                                                                                                                                                                                                                                                                                                                                                                                                                                                                                                                                                                                                                                                                                                                                                                                                                                                                                                                                                                                                                                                                                                                                                                                                                                                                                                                                                                                                                                                                                                                                                                                                                                                                                                                                                                                                                </w:t>
            </w:r>
            <w:r>
              <w:rPr>
                <w:rFonts w:hint="eastAsia"/>
                <w:spacing w:val="-1"/>
                <w:lang w:val="en-US" w:eastAsia="zh-CN"/>
              </w:rPr>
              <w:t xml:space="preserve">                                                                                                                                                                                                                                                                                                                                                                                                                                                                                                                                                                                                                                                                                                                                                                                                                                                                                                                                                                                                                                                                                                                                                                                                                                                                                                                                                                                                                                                                                                                                                                                                                                                                                                                                                                                                                                                                                                                                                                                                                                                                                                                                                                                                                                                                                                                                                                                                                                                                                                                                                                                                                                                                                                                                                                                                                                                                                                                                                                                                                                                                                                                                                                                                                                                                                                                                                                                                                                                                                                                                                                                                                                                                                                                                                                                                                                                                                                                                                                                                                                                                                                                                                                                                                </w:t>
            </w:r>
            <w:r>
              <w:rPr>
                <w:rFonts w:hint="eastAsia"/>
                <w:spacing w:val="-1"/>
                <w:lang w:val="en-US" w:eastAsia="zh-CN"/>
              </w:rPr>
              <w:t xml:space="preserve">                                                                                                                                                                                                                                                                                                                                                                                                                                                                                                                                                                                                                                                                                                                                                                                                                                                                                                                                                                                                                                                                                                                                                                                                                                                                                                                                                                                                                                                                                                                                                                                                                                                                                                                                                                                                                                                                                                                                                                                                                                                                                                                                                                                                                                                                                                                                                                                                                                                                                                                                                                                                                                                                                                                                                                                                                                                                                                                                                                                                                                                                                                                                                                                                                                                                                                                                                                                                                                                                                                                                                                                                                                                                                                                                                                                                                                                                                                                                                                                                                                                                                                                                                                                                                </w:t>
            </w:r>
            <w:r>
              <w:rPr>
                <w:rFonts w:hint="eastAsia"/>
                <w:spacing w:val="-1"/>
                <w:lang w:val="en-US" w:eastAsia="zh-CN"/>
              </w:rPr>
              <w:t xml:space="preserve">                                                                                                                                                                                                                                                                                                                                                                                                                                                                                                                                                                                                                                                                                                                                                                                                                                                                                                                                                                                                                                                                                                                                                                                                                                                                                                                                                                                                                                                                                                                                                                                                                                                                                                                                                                                                                                                                                                                                                                                                                                                                                                                                                                                                                                                                                                                                                                                                                                                                                                                                                                                                                                                                                                                                                                                                                                                                                                                                                                                                                                                                                                                                                                                                                                                                                                                                                                                                                                                                                                                                                                                                                                                                                                                                                                                                                                                                                                                                                                                                                                                                                                                                                                                                                </w:t>
            </w:r>
            <w:r>
              <w:rPr>
                <w:rFonts w:hint="eastAsia"/>
                <w:spacing w:val="-1"/>
                <w:lang w:val="en-US" w:eastAsia="zh-CN"/>
              </w:rPr>
              <w:t xml:space="preserve">                                                                                                                                                                                                                                                                                                                                                                                                                                                                                                                                                                                                                                                                                                                                                                                                                                                                                                                                                                                                                                                                                                                                                                                                                                                                                                                                                                                                                                                                                                                                                                                                                                                                                                                                                                                                                                                                                                                                                                                                                                                                                                                                                                                                                   </w:t>
            </w:r>
          </w:p>
          <w:p w14:paraId="3A155C0F">
            <w:pPr>
              <w:pStyle w:val="10"/>
              <w:spacing w:before="9" w:line="360" w:lineRule="auto"/>
              <w:ind w:left="19" w:right="19"/>
              <w:jc w:val="both"/>
              <w:rPr>
                <w:rFonts w:hint="default"/>
                <w:highlight w:val="none"/>
                <w:lang w:val="en-US" w:eastAsia="zh-CN"/>
              </w:rPr>
            </w:pPr>
          </w:p>
          <w:p w14:paraId="28B4E0BD">
            <w:pPr>
              <w:pStyle w:val="10"/>
              <w:spacing w:before="9" w:line="360" w:lineRule="auto"/>
              <w:ind w:left="19" w:right="19"/>
              <w:jc w:val="both"/>
              <w:rPr>
                <w:rFonts w:hint="default"/>
                <w:highlight w:val="none"/>
                <w:lang w:val="en-US" w:eastAsia="zh-CN"/>
              </w:rPr>
            </w:pPr>
          </w:p>
          <w:p w14:paraId="0E3D057A">
            <w:pPr>
              <w:pStyle w:val="10"/>
              <w:spacing w:before="9" w:line="360" w:lineRule="auto"/>
              <w:ind w:left="19" w:right="19"/>
              <w:jc w:val="both"/>
              <w:rPr>
                <w:rFonts w:hint="default"/>
                <w:lang w:val="en-US" w:eastAsia="zh-CN"/>
              </w:rPr>
            </w:pPr>
          </w:p>
        </w:tc>
      </w:tr>
    </w:tbl>
    <w:p w14:paraId="15315189">
      <w:pPr>
        <w:rPr>
          <w:rFonts w:ascii="Arial"/>
          <w:sz w:val="24"/>
          <w:szCs w:val="24"/>
        </w:rPr>
      </w:pPr>
    </w:p>
    <w:sectPr>
      <w:pgSz w:w="11920" w:h="16840"/>
      <w:pgMar w:top="1431" w:right="1108" w:bottom="0" w:left="1724" w:header="0" w:footer="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41D5D"/>
    <w:multiLevelType w:val="multilevel"/>
    <w:tmpl w:val="AB441D5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EA49EBC9"/>
    <w:multiLevelType w:val="multilevel"/>
    <w:tmpl w:val="EA49EBC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3002FBB9"/>
    <w:multiLevelType w:val="singleLevel"/>
    <w:tmpl w:val="3002FBB9"/>
    <w:lvl w:ilvl="0" w:tentative="0">
      <w:start w:val="1"/>
      <w:numFmt w:val="chineseCounting"/>
      <w:suff w:val="nothing"/>
      <w:lvlText w:val="%1．"/>
      <w:lvlJc w:val="left"/>
      <w:rPr>
        <w:rFonts w:hint="eastAsia"/>
      </w:rPr>
    </w:lvl>
  </w:abstractNum>
  <w:abstractNum w:abstractNumId="3">
    <w:nsid w:val="7F936694"/>
    <w:multiLevelType w:val="singleLevel"/>
    <w:tmpl w:val="7F936694"/>
    <w:lvl w:ilvl="0" w:tentative="0">
      <w:start w:val="6"/>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D9A50E8"/>
    <w:rsid w:val="0DB27B73"/>
    <w:rsid w:val="16C23B9F"/>
    <w:rsid w:val="16FE2E80"/>
    <w:rsid w:val="1A525008"/>
    <w:rsid w:val="21381FF3"/>
    <w:rsid w:val="2E0B45F9"/>
    <w:rsid w:val="2F5530F3"/>
    <w:rsid w:val="3E453FB2"/>
    <w:rsid w:val="3F4A08EB"/>
    <w:rsid w:val="41896292"/>
    <w:rsid w:val="4EE811A6"/>
    <w:rsid w:val="4F475560"/>
    <w:rsid w:val="54352F5B"/>
    <w:rsid w:val="5A664ED5"/>
    <w:rsid w:val="5A804BE4"/>
    <w:rsid w:val="5F4B09D3"/>
    <w:rsid w:val="6A5F216E"/>
    <w:rsid w:val="700917EA"/>
    <w:rsid w:val="719F0480"/>
    <w:rsid w:val="727219E7"/>
    <w:rsid w:val="73813EC5"/>
    <w:rsid w:val="740718AD"/>
    <w:rsid w:val="758B6EEE"/>
    <w:rsid w:val="77CF33F8"/>
    <w:rsid w:val="797C36D0"/>
    <w:rsid w:val="7C4804E2"/>
    <w:rsid w:val="7CB24257"/>
    <w:rsid w:val="EEBF67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黑体" w:hAnsi="黑体" w:eastAsia="黑体" w:cs="黑体"/>
      <w:sz w:val="31"/>
      <w:szCs w:val="31"/>
      <w:lang w:val="en-US" w:eastAsia="en-US" w:bidi="ar-SA"/>
    </w:rPr>
  </w:style>
  <w:style w:type="character" w:styleId="8">
    <w:name w:val="Strong"/>
    <w:basedOn w:val="7"/>
    <w:qFormat/>
    <w:uiPriority w:val="0"/>
    <w:rPr>
      <w:b/>
    </w:rPr>
  </w:style>
  <w:style w:type="table" w:customStyle="1" w:styleId="9">
    <w:name w:val="Table Normal1"/>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2"/>
      <w:szCs w:val="22"/>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2520</Words>
  <Characters>2746</Characters>
  <Lines>1</Lines>
  <Paragraphs>1</Paragraphs>
  <TotalTime>8</TotalTime>
  <ScaleCrop>false</ScaleCrop>
  <LinksUpToDate>false</LinksUpToDate>
  <CharactersWithSpaces>21187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2026-01-19T22:32:00Z</dcterms:created>
  <dc:creator>admin</dc:creator>
  <cp:lastModifiedBy>陈柯岚</cp:lastModifiedBy>
  <dcterms:modified xsi:type="dcterms:W3CDTF">2026-05-26T07:33:22Z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2026-01-19T14:32:04Z</vt:filetime>
  </property>
  <property fmtid="{D5CDD505-2E9C-101B-9397-08002B2CF9AE}" pid="4" name="UsrData">
    <vt:lpwstr>696dcfe0da7715001fdcd673wl</vt:lpwstr>
  </property>
  <property fmtid="{D5CDD505-2E9C-101B-9397-08002B2CF9AE}" pid="5" name="KSOTemplateDocerSaveRecord">
    <vt:lpwstr>eyJoZGlkIjoiMThkNTlmMGEzYjYwNDA2YjliNmJiY2MxMjdjN2Q2ODkiLCJ1c2VySWQiOiI2MjAzNjM5ODYifQ==</vt:lpwstr>
  </property>
  <property fmtid="{D5CDD505-2E9C-101B-9397-08002B2CF9AE}" pid="6" name="KSOProductBuildVer">
    <vt:lpwstr>2052-12.1.0.26375</vt:lpwstr>
  </property>
  <property fmtid="{D5CDD505-2E9C-101B-9397-08002B2CF9AE}" pid="7" name="ICV">
    <vt:lpwstr>939665C755F04A85B82A6C86104B947C_13</vt:lpwstr>
  </property>
</Properties>
</file>