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20D8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hint="eastAsia" w:ascii="方正小标宋_GBK" w:hAnsi="方正小标宋_GBK" w:eastAsia="方正小标宋_GBK" w:cs="方正小标宋_GBK"/>
          <w:kern w:val="36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电子票据打印机运维服务详细需求</w:t>
      </w:r>
    </w:p>
    <w:p w14:paraId="74B0B8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PingFang SC" w:hAnsi="PingFang SC" w:eastAsia="PingFang SC"/>
          <w:color w:val="000000"/>
          <w:sz w:val="21"/>
          <w:szCs w:val="21"/>
        </w:rPr>
        <w:t> 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我院目前使用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成都华西公用医疗信息服务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有限公司的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。现需采购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运维及相关服务，具体内容如下：</w:t>
      </w:r>
    </w:p>
    <w:p w14:paraId="3AB12851">
      <w:pPr>
        <w:numPr>
          <w:ilvl w:val="0"/>
          <w:numId w:val="3"/>
        </w:numPr>
        <w:spacing w:line="560" w:lineRule="exact"/>
        <w:ind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维护范围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（现有功能详见附件）</w:t>
      </w:r>
    </w:p>
    <w:p w14:paraId="103590D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1、发票自助打印机：设备整机及其模块维修维护</w:t>
      </w:r>
    </w:p>
    <w:p w14:paraId="7787074A">
      <w:pPr>
        <w:spacing w:line="560" w:lineRule="exact"/>
        <w:ind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2、发票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自助机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配套软件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软件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系统运维服务及数据储存</w:t>
      </w:r>
    </w:p>
    <w:p w14:paraId="1338D12B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二、服务期间</w:t>
      </w:r>
    </w:p>
    <w:p w14:paraId="05BD2AAD">
      <w:pPr>
        <w:spacing w:line="560" w:lineRule="exact"/>
        <w:ind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服务期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2026年6月6日-2028年6月5日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）</w:t>
      </w:r>
    </w:p>
    <w:p w14:paraId="451AF056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三、维护目标</w:t>
      </w:r>
    </w:p>
    <w:p w14:paraId="444E948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技术维保服务的目标是保证医院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电子票据打印自助机硬件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稳定正常运行；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配套软件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相关的数据库高效、稳定、安全运行。</w:t>
      </w:r>
    </w:p>
    <w:p w14:paraId="7963E098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四、维护方式</w:t>
      </w:r>
    </w:p>
    <w:p w14:paraId="4D651315">
      <w:pPr>
        <w:spacing w:line="560" w:lineRule="exact"/>
        <w:ind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现场服务：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定期(每季度一次)对系统进行现场巡检服务；包括系统运行状态、服务器状态、硬件使用情况等。</w:t>
      </w:r>
    </w:p>
    <w:p w14:paraId="7AF09832">
      <w:pPr>
        <w:spacing w:line="560" w:lineRule="exact"/>
        <w:ind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远程服务：包括但不仅限于电话、邮件、QQ、微信等方式，为用户提供问题咨询和解答服务。并通过远程接入方式为用户提供问题调试处理服务。工作日5*8小时制，周末及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节假日电话值班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6FB3CB89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五、维护说明</w:t>
      </w:r>
    </w:p>
    <w:p w14:paraId="5F942F38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1、提供7×24小时的服务响应。</w:t>
      </w:r>
    </w:p>
    <w:p w14:paraId="52E45946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2、提供相关系统数据的备份服务（如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基础数据库、打印数据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等）。</w:t>
      </w:r>
    </w:p>
    <w:p w14:paraId="1D41BBC8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3、在维保期内，将提供至少1名售后服务人员，为医院提供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远程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技术支持和故障清查、错误修改、业务修改、软件维护等服务。</w:t>
      </w:r>
    </w:p>
    <w:p w14:paraId="7DCDA9F7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、售后服务期间，响应时间不低于如下标准：在接到甲方的通知后2小时内做出明确的响应和安排，如果需要现场服务的，现场服务团队将在2小时内达到现场；在4小时内做出故障诊断报告。常规故障8小时内解决。</w:t>
      </w:r>
    </w:p>
    <w:p w14:paraId="55FE5F6A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5、在维保期内，指定专人负责与用户联络。专人收到维修通知后，立即按照承诺的规定为用户提供售后服务。如果出现人员变动，公司及时书面通知医院，并提供接替人员的相应资格证明和技术资质文件。</w:t>
      </w:r>
    </w:p>
    <w:p w14:paraId="1A9F5AEC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6、维护费结算前应向软件使用方提供管理员账号或相应权限，可在紧急情况下进行重置密码、新增账号等基础操作。</w:t>
      </w:r>
    </w:p>
    <w:p w14:paraId="08FE72F0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在维保期内，若票据自助机硬件出现故障，需及时维修，保障系统软硬件正常使用，由此所产生费用包含在本次维护费报价中。</w:t>
      </w:r>
    </w:p>
    <w:p w14:paraId="54413684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六、维护服务人员要求</w:t>
      </w:r>
    </w:p>
    <w:p w14:paraId="64D54B08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1、供应商指派的进行维护服务的技术人员具有1年以上医院信息化工作经验。技术人员变动前须与采购人进行协商确认，获得采购人认可后方可变动。</w:t>
      </w:r>
    </w:p>
    <w:p w14:paraId="65AC4D04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2、采购人提出技术人员调整需求时，供应商应予以满足。供应商公司指定项目协调负责人，以便双方沟通协商。</w:t>
      </w:r>
    </w:p>
    <w:p w14:paraId="1E138DDD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七、行为规范</w:t>
      </w:r>
    </w:p>
    <w:p w14:paraId="6F3610FA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1、遵守医院的各项规章制度，严格按照医院相应的规章制度办事。</w:t>
      </w:r>
    </w:p>
    <w:p w14:paraId="083641C8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2、与医院运行维护体系其他部门和环节协同工作，密切配合，共同开展技术支持工作。</w:t>
      </w:r>
    </w:p>
    <w:p w14:paraId="24864BFB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3、出现疑难技术、业务问题和重大紧急情况时，及时向双方负责人报告。</w:t>
      </w:r>
    </w:p>
    <w:p w14:paraId="4F1DAA1C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4、遵守保密原则。对医院的网络、主机、系统软件、应用软件等的密码、核心参数、业务数据等负有保密责任，不得复制和传播。</w:t>
      </w:r>
    </w:p>
    <w:p w14:paraId="4013CA6A">
      <w:pPr>
        <w:spacing w:line="560" w:lineRule="exact"/>
        <w:ind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、其他服务要求</w:t>
      </w:r>
    </w:p>
    <w:p w14:paraId="341A5270">
      <w:pPr>
        <w:ind w:firstLine="640" w:firstLineChars="200"/>
        <w:rPr>
          <w:rFonts w:ascii="Times New Roman" w:hAnsi="Times New Roman" w:eastAsia="方正仿宋_GBK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按照《中华人民共和国网络安全法》、《中华人民共和国保密法》、《信息安全等级保护管理办法》等国家法律法规及相关政策的要求采取有效地措施，接受医院信息安全管理，协助医院做好信息安全工作，及时处置安全风险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br w:type="page"/>
      </w:r>
    </w:p>
    <w:p w14:paraId="70D95645">
      <w:pPr>
        <w:widowControl/>
        <w:adjustRightInd w:val="0"/>
        <w:snapToGrid w:val="0"/>
        <w:spacing w:before="288" w:after="200" w:line="382" w:lineRule="auto"/>
        <w:ind w:left="95" w:right="6187"/>
        <w:jc w:val="left"/>
        <w:rPr>
          <w:rFonts w:ascii="Times New Roman" w:hAnsi="Times New Roman" w:eastAsia="方正仿宋_GBK" w:cs="Times New Roman"/>
          <w:spacing w:val="-4"/>
          <w:kern w:val="0"/>
          <w:sz w:val="28"/>
          <w:szCs w:val="28"/>
        </w:rPr>
      </w:pPr>
    </w:p>
    <w:p w14:paraId="21B2946C"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 xml:space="preserve"> 电子票据打印机现有硬件情况及软件功能</w:t>
      </w:r>
    </w:p>
    <w:p w14:paraId="495DF3C7">
      <w:pPr>
        <w:numPr>
          <w:ilvl w:val="0"/>
          <w:numId w:val="4"/>
        </w:numPr>
        <w:spacing w:line="640" w:lineRule="exact"/>
        <w:ind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产品清单</w:t>
      </w:r>
    </w:p>
    <w:p w14:paraId="49C4B020">
      <w:p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1.1硬件</w:t>
      </w:r>
    </w:p>
    <w:tbl>
      <w:tblPr>
        <w:tblStyle w:val="10"/>
        <w:tblW w:w="8340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977"/>
        <w:gridCol w:w="2558"/>
      </w:tblGrid>
      <w:tr w14:paraId="600B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963F">
            <w:pPr>
              <w:widowControl/>
              <w:adjustRightInd w:val="0"/>
              <w:snapToGrid w:val="0"/>
              <w:spacing w:after="20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序号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DB19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产品名称及型号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F0F9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数量</w:t>
            </w:r>
          </w:p>
        </w:tc>
      </w:tr>
      <w:tr w14:paraId="686E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BB67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1</w:t>
            </w:r>
          </w:p>
        </w:tc>
        <w:tc>
          <w:tcPr>
            <w:tcW w:w="49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2D721">
            <w:pPr>
              <w:widowControl/>
              <w:adjustRightInd w:val="0"/>
              <w:snapToGrid w:val="0"/>
              <w:spacing w:after="20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发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票自助打印机HYT-6280m</w:t>
            </w:r>
          </w:p>
        </w:tc>
        <w:tc>
          <w:tcPr>
            <w:tcW w:w="25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E963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台</w:t>
            </w:r>
          </w:p>
        </w:tc>
      </w:tr>
      <w:tr w14:paraId="572A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7EE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49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E6E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4C82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</w:tr>
    </w:tbl>
    <w:p w14:paraId="5F868AA2"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1.2 HYT-6280m发票自助机硬件配置</w:t>
      </w:r>
    </w:p>
    <w:tbl>
      <w:tblPr>
        <w:tblStyle w:val="10"/>
        <w:tblW w:w="84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277"/>
        <w:gridCol w:w="6596"/>
      </w:tblGrid>
      <w:tr w14:paraId="00D00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84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A46A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HYT-6280m发票打印机自助机配置</w:t>
            </w:r>
          </w:p>
        </w:tc>
      </w:tr>
      <w:tr w14:paraId="4E7C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DF6E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1260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D57C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产品技术参数</w:t>
            </w:r>
          </w:p>
        </w:tc>
      </w:tr>
      <w:tr w14:paraId="6AFDC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0F68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0804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主控模块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F6B2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专业工控主机；4G内存；64G固态硬盘；RS232串口：6 个；USB 接口：4个；并口：1 个；显卡：1 个；声卡：1 个；网卡：100M/1000M 自适应网卡 2 个；</w:t>
            </w:r>
          </w:p>
        </w:tc>
      </w:tr>
      <w:tr w14:paraId="06A7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65E9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ED010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1F30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19寸LED背光液晶显示屏；偏转角178度；分辨率1280*1024；32位真彩；对比度500:1；亮度：＞300 cd／平方米；响应时间：＜30 ms</w:t>
            </w:r>
          </w:p>
        </w:tc>
      </w:tr>
      <w:tr w14:paraId="36F16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1D68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24D9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触摸屏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B045B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19寸电容触摸屏，支持手写输入，分辨率4096*4096，高灵敏，高透光率，定位准确: ＜2mm，响应时间：3ms，准确率：99%，保护功能：防水、防尘、防暴，防刮擦; 手写输入系统，识别率为99%，识别时间小于0.1秒，字库标准为GB2312，生字手写可以识别超过GB2312的范围</w:t>
            </w:r>
          </w:p>
        </w:tc>
      </w:tr>
      <w:tr w14:paraId="25E3D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D475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B4A5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电动读卡器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1D59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1、具有掉电吐卡和卡回收功能，带PSAM卡卡座， 带读卡器安全防范喉（异型口）， 带插卡指示灯，支持IC卡/磁卡/RFID读写，支持ISO/IBM磁条标准，兼容多种通讯协议， 支持前后进卡/退卡</w:t>
            </w:r>
          </w:p>
        </w:tc>
      </w:tr>
      <w:tr w14:paraId="5C56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2A1E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0BC5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2BBEF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2、通过银联PBOC2.0&amp;EMV认证</w:t>
            </w:r>
          </w:p>
        </w:tc>
      </w:tr>
      <w:tr w14:paraId="357C9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C127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E5651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A309C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3、磁头寿命：≥50万次</w:t>
            </w:r>
          </w:p>
        </w:tc>
      </w:tr>
      <w:tr w14:paraId="66C27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3C7A6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A0BC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4290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4、IC卡触点使用寿命：≥30万次</w:t>
            </w:r>
          </w:p>
        </w:tc>
      </w:tr>
      <w:tr w14:paraId="4A455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62D6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C824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040A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5、传动装置使用寿命：≥50万次</w:t>
            </w:r>
          </w:p>
        </w:tc>
      </w:tr>
      <w:tr w14:paraId="5F1C5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C8A0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57C5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二维扫描器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F85A0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图像传感器：CMOS  </w:t>
            </w:r>
          </w:p>
        </w:tc>
      </w:tr>
      <w:tr w14:paraId="537D0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4B69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D68A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CD642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像素：960*640</w:t>
            </w:r>
          </w:p>
        </w:tc>
      </w:tr>
      <w:tr w14:paraId="4B893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BFA0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D0D4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D204C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照明：白光LED</w:t>
            </w:r>
          </w:p>
        </w:tc>
      </w:tr>
      <w:tr w14:paraId="4936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8B5B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0A461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6E58B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对焦：绿光LED</w:t>
            </w:r>
          </w:p>
        </w:tc>
      </w:tr>
      <w:tr w14:paraId="01BD4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3524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1E83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9F8A3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识读精度：≥3mil</w:t>
            </w:r>
          </w:p>
        </w:tc>
      </w:tr>
      <w:tr w14:paraId="5496C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AAB8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D4C0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109A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认证：FCC Part15 Class B,CE EMC Class B</w:t>
            </w:r>
          </w:p>
        </w:tc>
      </w:tr>
      <w:tr w14:paraId="39AED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7A5B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BBF3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德卡T10读卡器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639C9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支持二代身份证、居民健康卡读卡读取</w:t>
            </w:r>
          </w:p>
        </w:tc>
      </w:tr>
      <w:tr w14:paraId="246DA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3907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D0A3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针式打印机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E7B25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财政票据专用打印机</w:t>
            </w:r>
          </w:p>
        </w:tc>
      </w:tr>
      <w:tr w14:paraId="50ECD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4C33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D6A6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硬盘录像机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462FD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3路摄像头硬盘录像机</w:t>
            </w:r>
          </w:p>
        </w:tc>
      </w:tr>
      <w:tr w14:paraId="7689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CD79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64EE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票据保险箱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26B2F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纸制票据保险箱</w:t>
            </w:r>
          </w:p>
        </w:tc>
      </w:tr>
      <w:tr w14:paraId="709B1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4911C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2B32D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29寸显示屏</w:t>
            </w:r>
          </w:p>
        </w:tc>
        <w:tc>
          <w:tcPr>
            <w:tcW w:w="6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0FB0A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29寸高清广告显示屏</w:t>
            </w:r>
          </w:p>
        </w:tc>
      </w:tr>
      <w:tr w14:paraId="7ED0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FEDB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99AC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电控锁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348F1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通过控制指令完成开锁</w:t>
            </w:r>
          </w:p>
        </w:tc>
      </w:tr>
      <w:tr w14:paraId="595D9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7990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4E9B6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音响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FC6B5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双声道输出，带物理音量条件开关</w:t>
            </w:r>
          </w:p>
        </w:tc>
      </w:tr>
      <w:tr w14:paraId="1738C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6772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DCBD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电源模块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51C0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自助设备专用电源模块，稳定输出 24V 电源和 12V 电源</w:t>
            </w:r>
          </w:p>
        </w:tc>
      </w:tr>
      <w:tr w14:paraId="23BA7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2813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639D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闪光控制器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18352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入出口灯光提示操作</w:t>
            </w:r>
          </w:p>
        </w:tc>
      </w:tr>
      <w:tr w14:paraId="25F3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DEEE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15D1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时控开关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EC16D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定时开关机</w:t>
            </w:r>
          </w:p>
        </w:tc>
      </w:tr>
      <w:tr w14:paraId="3CD4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8059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D90F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USB HUB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4D2D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USB专用HUB,提供稳定的USB接口</w:t>
            </w:r>
          </w:p>
        </w:tc>
      </w:tr>
      <w:tr w14:paraId="12594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0438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A6A0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C020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全钢机柜、不易变形，外观美观、大方，符合人体工程学设计，布局合理，工艺精细，防水、防尘、防锈、防腐、耐磨</w:t>
            </w:r>
          </w:p>
        </w:tc>
      </w:tr>
    </w:tbl>
    <w:p w14:paraId="4353C78C">
      <w:pPr>
        <w:spacing w:line="6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 w14:paraId="497D9248">
      <w:pPr>
        <w:spacing w:line="6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1电子发票打印机配套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软件</w:t>
      </w:r>
    </w:p>
    <w:tbl>
      <w:tblPr>
        <w:tblStyle w:val="20"/>
        <w:tblW w:w="83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977"/>
        <w:gridCol w:w="2537"/>
      </w:tblGrid>
      <w:tr w14:paraId="343E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44" w:type="dxa"/>
            <w:vAlign w:val="center"/>
          </w:tcPr>
          <w:p w14:paraId="10842D77">
            <w:pPr>
              <w:adjustRightInd w:val="0"/>
              <w:snapToGrid w:val="0"/>
              <w:spacing w:before="186" w:after="200" w:line="221" w:lineRule="auto"/>
              <w:ind w:left="175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7"/>
                <w:sz w:val="24"/>
                <w:lang w:eastAsia="en-US"/>
              </w:rPr>
              <w:t>序号</w:t>
            </w:r>
          </w:p>
        </w:tc>
        <w:tc>
          <w:tcPr>
            <w:tcW w:w="4977" w:type="dxa"/>
            <w:vAlign w:val="center"/>
          </w:tcPr>
          <w:p w14:paraId="573437E5">
            <w:pPr>
              <w:adjustRightInd w:val="0"/>
              <w:snapToGrid w:val="0"/>
              <w:spacing w:before="185" w:after="200" w:line="219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2"/>
                <w:sz w:val="24"/>
                <w:lang w:eastAsia="en-US"/>
              </w:rPr>
              <w:t>功能模块名称</w:t>
            </w:r>
          </w:p>
        </w:tc>
        <w:tc>
          <w:tcPr>
            <w:tcW w:w="2537" w:type="dxa"/>
            <w:vAlign w:val="center"/>
          </w:tcPr>
          <w:p w14:paraId="473115C5">
            <w:pPr>
              <w:adjustRightInd w:val="0"/>
              <w:snapToGrid w:val="0"/>
              <w:spacing w:before="185" w:after="200" w:line="219" w:lineRule="auto"/>
              <w:ind w:left="215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4"/>
                <w:sz w:val="24"/>
                <w:lang w:eastAsia="en-US"/>
              </w:rPr>
              <w:t>数量</w:t>
            </w:r>
          </w:p>
        </w:tc>
      </w:tr>
      <w:tr w14:paraId="75B8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44" w:type="dxa"/>
            <w:vAlign w:val="center"/>
          </w:tcPr>
          <w:p w14:paraId="726FB76C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en-US"/>
              </w:rPr>
              <w:t>1</w:t>
            </w:r>
          </w:p>
        </w:tc>
        <w:tc>
          <w:tcPr>
            <w:tcW w:w="4977" w:type="dxa"/>
            <w:vAlign w:val="center"/>
          </w:tcPr>
          <w:p w14:paraId="39EDA5A5">
            <w:pPr>
              <w:adjustRightInd w:val="0"/>
              <w:snapToGrid w:val="0"/>
              <w:spacing w:before="313" w:after="200" w:line="219" w:lineRule="auto"/>
              <w:ind w:left="181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发票自助机打印机配套软件</w:t>
            </w:r>
          </w:p>
        </w:tc>
        <w:tc>
          <w:tcPr>
            <w:tcW w:w="2537" w:type="dxa"/>
            <w:vAlign w:val="center"/>
          </w:tcPr>
          <w:p w14:paraId="59B49A2A">
            <w:pPr>
              <w:adjustRightInd w:val="0"/>
              <w:snapToGrid w:val="0"/>
              <w:spacing w:before="24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1套</w:t>
            </w:r>
          </w:p>
        </w:tc>
      </w:tr>
    </w:tbl>
    <w:p w14:paraId="2379C651">
      <w:pPr>
        <w:spacing w:line="64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74094B5F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2.2发票自助机配套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软件功能</w:t>
      </w:r>
    </w:p>
    <w:tbl>
      <w:tblPr>
        <w:tblStyle w:val="10"/>
        <w:tblpPr w:leftFromText="180" w:rightFromText="180" w:vertAnchor="text" w:horzAnchor="page" w:tblpX="1800" w:tblpY="125"/>
        <w:tblOverlap w:val="never"/>
        <w:tblW w:w="8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82"/>
        <w:gridCol w:w="5627"/>
      </w:tblGrid>
      <w:tr w14:paraId="62BA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36F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en-US"/>
              </w:rPr>
              <w:t>模块名称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4BAF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en-US"/>
              </w:rPr>
              <w:t>子功能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DE0A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现有流程</w:t>
            </w:r>
          </w:p>
        </w:tc>
      </w:tr>
      <w:tr w14:paraId="503D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25B6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医疗电子票据换开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29CE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正常换开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A70B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身份识别-选择日期-查询可换开的发票-确认票面号码与系统走号是否匹配-完成换开-打印票据-完成</w:t>
            </w:r>
          </w:p>
        </w:tc>
      </w:tr>
      <w:tr w14:paraId="0C8B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CC91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3F0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作废重开发票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9CD5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管理员操作-废票后为病人重新换开</w:t>
            </w:r>
          </w:p>
        </w:tc>
      </w:tr>
      <w:tr w14:paraId="2976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B3D7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7D0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作废空白号段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EFB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管理员操作-批量作废无效或无损票据</w:t>
            </w:r>
          </w:p>
        </w:tc>
      </w:tr>
      <w:tr w14:paraId="5C1C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CED5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B13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自助机纸质票号段管理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92C5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管理员操作-自助机纸质票号段管理</w:t>
            </w:r>
          </w:p>
        </w:tc>
      </w:tr>
      <w:tr w14:paraId="71FA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A96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发票号段管理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4FD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同步发票号段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A6A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通过换开点配置-请求电子发票系统对应换开点数据</w:t>
            </w:r>
          </w:p>
        </w:tc>
      </w:tr>
      <w:tr w14:paraId="0A09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3BE4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sz w:val="24"/>
                <w:lang w:eastAsia="en-US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AB2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配置发票长度及模版格式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DE8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en-US"/>
              </w:rPr>
              <w:t>有电子发票的项目-需要提前获得医院票据格式</w:t>
            </w:r>
          </w:p>
        </w:tc>
      </w:tr>
    </w:tbl>
    <w:p w14:paraId="16381BD5">
      <w:pPr>
        <w:spacing w:after="156" w:afterLines="50"/>
        <w:rPr>
          <w:rFonts w:hint="eastAsia" w:ascii="Calibri" w:hAnsi="Calibri" w:eastAsia="宋体" w:cs="Times New Roman"/>
          <w:sz w:val="24"/>
        </w:rPr>
      </w:pPr>
    </w:p>
    <w:p w14:paraId="408A8774">
      <w:pPr>
        <w:rPr>
          <w:rFonts w:hint="default" w:ascii="Calibri" w:hAnsi="Calibri" w:eastAsia="宋体" w:cs="Times New Roman"/>
          <w:sz w:val="24"/>
          <w:lang w:val="en-US"/>
        </w:rPr>
      </w:pPr>
      <w:r>
        <w:rPr>
          <w:rFonts w:hint="default" w:ascii="Calibri" w:hAnsi="Calibri" w:eastAsia="宋体" w:cs="Times New Roman"/>
          <w:sz w:val="24"/>
          <w:lang w:val="en-US"/>
        </w:rPr>
        <w:br w:type="page"/>
      </w:r>
    </w:p>
    <w:tbl>
      <w:tblPr>
        <w:tblStyle w:val="10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7B44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34BC">
            <w:pPr>
              <w:spacing w:after="156" w:afterLines="5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lang w:eastAsia="zh-CN" w:bidi="ar"/>
              </w:rPr>
              <w:t>厂商基本信息表</w:t>
            </w:r>
          </w:p>
        </w:tc>
      </w:tr>
      <w:tr w14:paraId="20B2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5340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176B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文字描述</w:t>
            </w:r>
          </w:p>
          <w:p w14:paraId="59112D33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1.全国情况：</w:t>
            </w:r>
          </w:p>
          <w:p w14:paraId="3652E6CC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2.本公司情况：</w:t>
            </w:r>
          </w:p>
        </w:tc>
      </w:tr>
      <w:tr w14:paraId="462B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2D18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4A3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文字描述</w:t>
            </w:r>
          </w:p>
        </w:tc>
      </w:tr>
      <w:tr w14:paraId="42CF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BBE6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1F53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文字描述</w:t>
            </w:r>
          </w:p>
        </w:tc>
      </w:tr>
      <w:tr w14:paraId="04E1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8F6A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05DD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注：“是”打√</w:t>
            </w:r>
          </w:p>
        </w:tc>
      </w:tr>
    </w:tbl>
    <w:p w14:paraId="363B55E5">
      <w:pPr>
        <w:spacing w:after="0" w:line="360" w:lineRule="auto"/>
        <w:ind w:firstLine="0" w:firstLineChars="0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lang w:eastAsia="zh-CN" w:bidi="ar-SA"/>
        </w:rPr>
      </w:pPr>
    </w:p>
    <w:p w14:paraId="496E247E">
      <w:pPr>
        <w:spacing w:after="0" w:line="360" w:lineRule="auto"/>
        <w:ind w:firstLine="0" w:firstLineChars="0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lang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4"/>
          <w:lang w:eastAsia="zh-CN" w:bidi="ar-SA"/>
        </w:rPr>
        <w:t>厂家（商）：盖公章</w:t>
      </w:r>
    </w:p>
    <w:p w14:paraId="6C062A41">
      <w:pPr>
        <w:spacing w:after="156" w:afterLines="50" w:line="240" w:lineRule="auto"/>
        <w:ind w:firstLine="0" w:firstLineChars="0"/>
        <w:jc w:val="right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8"/>
          <w:lang w:eastAsia="zh-CN" w:bidi="ar-SA"/>
        </w:rPr>
        <w:t>日期：   年   月   日</w:t>
      </w:r>
    </w:p>
    <w:p w14:paraId="5FBC7561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</w:p>
    <w:p w14:paraId="2FB79D0E">
      <w:pPr>
        <w:spacing w:after="156" w:afterLines="5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  <w:r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  <w:br w:type="page"/>
      </w:r>
    </w:p>
    <w:p w14:paraId="704CB42E">
      <w:pPr>
        <w:spacing w:after="0" w:line="240" w:lineRule="auto"/>
        <w:ind w:firstLine="0" w:firstLineChars="0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电子票据打印机运维服务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采购项目报价表</w:t>
      </w:r>
    </w:p>
    <w:p w14:paraId="67F7045C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</w:p>
    <w:tbl>
      <w:tblPr>
        <w:tblStyle w:val="10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561"/>
        <w:gridCol w:w="2760"/>
        <w:gridCol w:w="1888"/>
        <w:gridCol w:w="852"/>
      </w:tblGrid>
      <w:tr w14:paraId="6A5E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ACB8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项目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4251C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内容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6539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用途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EEB7A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报价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E9B42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备注</w:t>
            </w:r>
          </w:p>
        </w:tc>
      </w:tr>
      <w:tr w14:paraId="47790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76C7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val="en-US" w:eastAsia="zh-CN" w:bidi="ar-SA"/>
              </w:rPr>
              <w:t>电子票据打印机运维服务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4FDB4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  <w:t>详见建设要求。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ADC5">
            <w:pPr>
              <w:spacing w:after="0" w:line="240" w:lineRule="auto"/>
              <w:ind w:firstLine="0" w:firstLineChars="0"/>
              <w:jc w:val="both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lang w:val="en-US" w:eastAsia="zh-CN" w:bidi="ar-SA"/>
              </w:rPr>
              <w:t>保证医院现有电子票据打印自助机硬件的安全稳定正常运行；配套软件相关的数据库高效、稳定、安全运行</w:t>
            </w: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  <w:t>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072A4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A53F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lang w:eastAsia="zh-CN" w:bidi="ar-SA"/>
              </w:rPr>
            </w:pPr>
          </w:p>
        </w:tc>
      </w:tr>
    </w:tbl>
    <w:p w14:paraId="0977DBC7">
      <w:pPr>
        <w:spacing w:after="0" w:line="240" w:lineRule="auto"/>
        <w:ind w:left="619" w:leftChars="295"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</w:p>
    <w:p w14:paraId="1DED98FC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lang w:eastAsia="zh-CN" w:bidi="ar-SA"/>
        </w:rPr>
        <w:t>报价公司：</w:t>
      </w:r>
    </w:p>
    <w:p w14:paraId="392B4F07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lang w:eastAsia="zh-CN" w:bidi="ar-SA"/>
        </w:rPr>
        <w:t>联系方式：</w:t>
      </w:r>
    </w:p>
    <w:p w14:paraId="1007894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lang w:eastAsia="zh-CN" w:bidi="ar-SA"/>
        </w:rPr>
        <w:t>是否对需求内容完全响应：</w:t>
      </w:r>
    </w:p>
    <w:p w14:paraId="51DDE58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lang w:eastAsia="zh-CN" w:bidi="ar-SA"/>
        </w:rPr>
        <w:t>日期：</w:t>
      </w:r>
    </w:p>
    <w:p w14:paraId="30280FB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</w:p>
    <w:p w14:paraId="5F7B3CE9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lang w:eastAsia="zh-CN" w:bidi="ar-SA"/>
        </w:rPr>
      </w:pPr>
    </w:p>
    <w:p w14:paraId="53EC0B96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</w:p>
    <w:p w14:paraId="21685B9F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  <w:r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  <w:br w:type="page"/>
      </w:r>
    </w:p>
    <w:p w14:paraId="46919668">
      <w:pPr>
        <w:spacing w:after="0" w:line="240" w:lineRule="auto"/>
        <w:ind w:firstLine="0" w:firstLineChars="0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电子票据打印机运维服务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采购项目建设方案</w:t>
      </w:r>
    </w:p>
    <w:p w14:paraId="0BAF8B1A">
      <w:pPr>
        <w:spacing w:after="0" w:line="240" w:lineRule="auto"/>
        <w:ind w:firstLine="0" w:firstLineChars="0"/>
        <w:jc w:val="center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  <w:r>
        <w:rPr>
          <w:rFonts w:hint="eastAsia" w:ascii="Calibri" w:hAnsi="Calibri" w:eastAsia="宋体" w:cs="Times New Roman"/>
          <w:color w:val="000000"/>
          <w:kern w:val="2"/>
          <w:sz w:val="24"/>
          <w:lang w:eastAsia="zh-CN" w:bidi="ar-SA"/>
        </w:rPr>
        <w:t>（模板）</w:t>
      </w:r>
      <w:bookmarkStart w:id="0" w:name="_GoBack"/>
      <w:bookmarkEnd w:id="0"/>
    </w:p>
    <w:p w14:paraId="17686C3E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lang w:eastAsia="zh-CN" w:bidi="ar-SA"/>
        </w:rPr>
      </w:pPr>
    </w:p>
    <w:p w14:paraId="5476CA66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需求xxx</w:t>
      </w:r>
    </w:p>
    <w:p w14:paraId="510050AA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1．需求xxx</w:t>
      </w:r>
    </w:p>
    <w:p w14:paraId="75F7792F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06A1F24A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7DE6A0A2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2.需求xxx</w:t>
      </w:r>
    </w:p>
    <w:p w14:paraId="06064875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4EA7B820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31B9D340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3.需求xxx</w:t>
      </w:r>
    </w:p>
    <w:p w14:paraId="27E97482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5090A9A1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04D9D977">
      <w:pPr>
        <w:rPr>
          <w:rFonts w:hint="default" w:ascii="Calibri" w:hAnsi="Calibri" w:eastAsia="宋体" w:cs="Times New Roman"/>
          <w:sz w:val="24"/>
          <w:lang w:val="en-US"/>
        </w:rPr>
      </w:pPr>
      <w:r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二、其它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56FD73-11A4-4F07-8475-D1B9D8B113F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0F7EE8-70CF-461C-897B-FCA9C3011E49}"/>
  </w:font>
  <w:font w:name="PingFang SC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  <w:embedRegular r:id="rId3" w:fontKey="{2AD07174-506E-4534-A574-CBE7B4EEA5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706C23B-E241-4655-ABA6-1982DA519B7F}"/>
  </w:font>
  <w:font w:name="KSOF89AF144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7B0A05-87FC-4329-B901-3E5BA8ACB46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E7403ED9-6083-4B2D-98A0-3067488DEE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1A5BCF16-2AF0-479D-B62B-C2B1A26E735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40F1D"/>
    <w:multiLevelType w:val="singleLevel"/>
    <w:tmpl w:val="AE540F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D7CC7C"/>
    <w:multiLevelType w:val="singleLevel"/>
    <w:tmpl w:val="B0D7CC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1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3E1C96"/>
    <w:rsid w:val="00124EB7"/>
    <w:rsid w:val="00141C14"/>
    <w:rsid w:val="00182099"/>
    <w:rsid w:val="00291AAB"/>
    <w:rsid w:val="002935C3"/>
    <w:rsid w:val="002E163B"/>
    <w:rsid w:val="0032654D"/>
    <w:rsid w:val="00390F77"/>
    <w:rsid w:val="003B19E7"/>
    <w:rsid w:val="003E2BB0"/>
    <w:rsid w:val="003F402B"/>
    <w:rsid w:val="0040347A"/>
    <w:rsid w:val="00411397"/>
    <w:rsid w:val="00420701"/>
    <w:rsid w:val="00495D55"/>
    <w:rsid w:val="004C0E3A"/>
    <w:rsid w:val="00556AA5"/>
    <w:rsid w:val="00571F72"/>
    <w:rsid w:val="006F46EB"/>
    <w:rsid w:val="006F6C48"/>
    <w:rsid w:val="00704AE1"/>
    <w:rsid w:val="007E3415"/>
    <w:rsid w:val="009427C3"/>
    <w:rsid w:val="00AF6D7B"/>
    <w:rsid w:val="00B93D4C"/>
    <w:rsid w:val="00BD6414"/>
    <w:rsid w:val="00BE442B"/>
    <w:rsid w:val="00CF6FB6"/>
    <w:rsid w:val="00DC7ED6"/>
    <w:rsid w:val="00E73C29"/>
    <w:rsid w:val="00EB1CA6"/>
    <w:rsid w:val="00F42F6A"/>
    <w:rsid w:val="02C76750"/>
    <w:rsid w:val="08F47C67"/>
    <w:rsid w:val="11BB7EC7"/>
    <w:rsid w:val="12455EB1"/>
    <w:rsid w:val="14695F01"/>
    <w:rsid w:val="19F618F8"/>
    <w:rsid w:val="232B2C08"/>
    <w:rsid w:val="28FB65E3"/>
    <w:rsid w:val="2A330BDA"/>
    <w:rsid w:val="2E7745CB"/>
    <w:rsid w:val="3081525A"/>
    <w:rsid w:val="370B7A5D"/>
    <w:rsid w:val="3A630476"/>
    <w:rsid w:val="3E0236F3"/>
    <w:rsid w:val="435A28AA"/>
    <w:rsid w:val="4840749F"/>
    <w:rsid w:val="4E5C5BC2"/>
    <w:rsid w:val="4E800301"/>
    <w:rsid w:val="556759A2"/>
    <w:rsid w:val="561221A2"/>
    <w:rsid w:val="5D481D97"/>
    <w:rsid w:val="5EC25CAB"/>
    <w:rsid w:val="64456309"/>
    <w:rsid w:val="64497F99"/>
    <w:rsid w:val="65B740EF"/>
    <w:rsid w:val="68442A2C"/>
    <w:rsid w:val="6A4C2C7E"/>
    <w:rsid w:val="6BE64F4B"/>
    <w:rsid w:val="6C750979"/>
    <w:rsid w:val="6D870A3A"/>
    <w:rsid w:val="75BE47C6"/>
    <w:rsid w:val="7D9D19E0"/>
    <w:rsid w:val="7FB366BE"/>
    <w:rsid w:val="85FED29E"/>
    <w:rsid w:val="DEAFB2E7"/>
    <w:rsid w:val="EEBEE174"/>
    <w:rsid w:val="F1A6D70D"/>
    <w:rsid w:val="F25F79C3"/>
    <w:rsid w:val="F271A11E"/>
    <w:rsid w:val="FA3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paragraph" w:styleId="3">
    <w:name w:val="heading 2"/>
    <w:next w:val="1"/>
    <w:link w:val="14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val="en-US" w:eastAsia="zh-CN" w:bidi="ar-SA"/>
    </w:rPr>
  </w:style>
  <w:style w:type="paragraph" w:styleId="4">
    <w:name w:val="heading 3"/>
    <w:next w:val="1"/>
    <w:link w:val="16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paragraph" w:styleId="5">
    <w:name w:val="heading 5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 w:cs="Times New Roman"/>
      <w:b/>
      <w:bCs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标题 2 字符"/>
    <w:link w:val="3"/>
    <w:qFormat/>
    <w:uiPriority w:val="0"/>
    <w:rPr>
      <w:b/>
      <w:bCs/>
      <w:sz w:val="32"/>
      <w:szCs w:val="32"/>
    </w:rPr>
  </w:style>
  <w:style w:type="character" w:customStyle="1" w:styleId="15">
    <w:name w:val="标题 1 字符"/>
    <w:link w:val="2"/>
    <w:qFormat/>
    <w:uiPriority w:val="0"/>
    <w:rPr>
      <w:b/>
      <w:szCs w:val="24"/>
    </w:rPr>
  </w:style>
  <w:style w:type="character" w:customStyle="1" w:styleId="16">
    <w:name w:val="标题 3 字符"/>
    <w:link w:val="4"/>
    <w:qFormat/>
    <w:uiPriority w:val="0"/>
    <w:rPr>
      <w:b/>
      <w:bCs/>
      <w:sz w:val="32"/>
      <w:szCs w:val="32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标题 5（有编号）（绿盟科技）"/>
    <w:basedOn w:val="1"/>
    <w:next w:val="22"/>
    <w:autoRedefine/>
    <w:qFormat/>
    <w:uiPriority w:val="99"/>
    <w:pPr>
      <w:keepNext/>
      <w:keepLines/>
      <w:numPr>
        <w:ilvl w:val="4"/>
        <w:numId w:val="2"/>
      </w:numPr>
      <w:spacing w:before="280" w:after="156" w:line="377" w:lineRule="auto"/>
      <w:outlineLvl w:val="4"/>
    </w:pPr>
    <w:rPr>
      <w:rFonts w:ascii="Arial" w:hAnsi="Arial" w:eastAsia="黑体" w:cs="Arial"/>
      <w:b/>
      <w:bCs/>
      <w:sz w:val="24"/>
    </w:rPr>
  </w:style>
  <w:style w:type="paragraph" w:customStyle="1" w:styleId="22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2"/>
      <w:szCs w:val="22"/>
      <w:lang w:val="en-US" w:eastAsia="zh-CN" w:bidi="ar-SA"/>
    </w:rPr>
  </w:style>
  <w:style w:type="character" w:customStyle="1" w:styleId="23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1FD0304E-5D11-4FDF-A3BC-E743243EE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eyy</Company>
  <Pages>9</Pages>
  <Words>2166</Words>
  <Characters>2372</Characters>
  <Lines>101</Lines>
  <Paragraphs>70</Paragraphs>
  <TotalTime>0</TotalTime>
  <ScaleCrop>false</ScaleCrop>
  <LinksUpToDate>false</LinksUpToDate>
  <CharactersWithSpaces>2403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2025-02-08T09:23:00Z</dcterms:created>
  <dc:creator>木缥缈</dc:creator>
  <cp:lastModifiedBy>陈柯岚</cp:lastModifiedBy>
  <dcterms:modified xsi:type="dcterms:W3CDTF">2026-04-30T06:05:02Z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57EBC74AE8BF4143A38C9583CF7B97E7_13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