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4986">
      <w:pPr>
        <w:pStyle w:val="2"/>
        <w:spacing w:before="60" w:after="60" w:line="640" w:lineRule="exact"/>
        <w:jc w:val="center"/>
        <w:rPr>
          <w:rFonts w:hint="eastAsia" w:ascii="方正小标宋_GBK" w:hAnsi="方正小标宋_GBK" w:eastAsia="方正小标宋_GBK" w:cs="方正小标宋_GBK"/>
          <w:b w:val="0"/>
          <w:bCs w:val="0"/>
          <w:kern w:val="36"/>
        </w:rPr>
      </w:pPr>
      <w:bookmarkStart w:id="1" w:name="_GoBack"/>
      <w:r>
        <w:rPr>
          <w:rFonts w:hint="eastAsia" w:ascii="宋体" w:hAnsi="宋体" w:eastAsia="宋体" w:cs="宋体"/>
          <w:color w:val="333333"/>
          <w:lang w:val="en-US" w:eastAsia="zh-CN"/>
        </w:rPr>
        <w:t>门诊</w:t>
      </w:r>
      <w:r>
        <w:rPr>
          <w:rFonts w:hint="eastAsia" w:ascii="宋体" w:hAnsi="宋体" w:eastAsia="宋体" w:cs="宋体"/>
          <w:color w:val="333333"/>
        </w:rPr>
        <w:t>手术室外麻醉管理系统建设需求</w:t>
      </w:r>
      <w:bookmarkEnd w:id="1"/>
    </w:p>
    <w:p w14:paraId="70498AE5">
      <w:pPr>
        <w:pStyle w:val="19"/>
        <w:spacing w:before="0" w:beforeAutospacing="0" w:after="0" w:afterAutospacing="0"/>
        <w:rPr>
          <w:rFonts w:hint="eastAsia"/>
        </w:rPr>
      </w:pPr>
      <w:r>
        <w:rPr>
          <w:rFonts w:hint="eastAsia" w:ascii="华文仿宋" w:hAnsi="华文仿宋" w:eastAsia="华文仿宋"/>
          <w:b/>
          <w:bCs/>
          <w:color w:val="000000"/>
          <w:sz w:val="36"/>
          <w:szCs w:val="36"/>
        </w:rPr>
        <w:t> </w:t>
      </w:r>
    </w:p>
    <w:p w14:paraId="6182E433">
      <w:pPr>
        <w:pStyle w:val="19"/>
        <w:spacing w:before="0" w:beforeAutospacing="0" w:after="0" w:afterAutospacing="0" w:line="560" w:lineRule="exact"/>
        <w:ind w:firstLine="643" w:firstLineChars="200"/>
        <w:jc w:val="both"/>
        <w:rPr>
          <w:rFonts w:hint="eastAsia" w:ascii="宋体" w:hAnsi="宋体" w:eastAsia="宋体" w:cs="宋体"/>
        </w:rPr>
      </w:pPr>
      <w:r>
        <w:rPr>
          <w:rFonts w:hint="eastAsia" w:ascii="方正楷体_GBK" w:hAnsi="方正楷体_GBK" w:eastAsia="方正楷体_GBK" w:cs="方正楷体_GBK"/>
          <w:b/>
          <w:bCs/>
          <w:color w:val="000000"/>
          <w:sz w:val="32"/>
          <w:szCs w:val="32"/>
        </w:rPr>
        <w:t>一、软件功能参数要求</w:t>
      </w:r>
      <w:r>
        <w:rPr>
          <w:rFonts w:hint="eastAsia" w:ascii="PingFang SC" w:hAnsi="PingFang SC" w:eastAsia="PingFang SC"/>
          <w:color w:val="000000"/>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24"/>
        <w:gridCol w:w="6379"/>
      </w:tblGrid>
      <w:tr w14:paraId="5603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5" w:type="dxa"/>
            <w:vAlign w:val="center"/>
          </w:tcPr>
          <w:p w14:paraId="7579702F">
            <w:pPr>
              <w:spacing w:line="360" w:lineRule="auto"/>
              <w:rPr>
                <w:rFonts w:hint="eastAsia" w:ascii="宋体" w:hAnsi="宋体" w:eastAsia="宋体" w:cs="宋体"/>
                <w:b/>
                <w:bCs/>
                <w:szCs w:val="21"/>
              </w:rPr>
            </w:pPr>
            <w:r>
              <w:rPr>
                <w:rFonts w:hint="eastAsia" w:ascii="宋体" w:hAnsi="宋体" w:eastAsia="宋体" w:cs="宋体"/>
                <w:b/>
                <w:bCs/>
                <w:szCs w:val="21"/>
              </w:rPr>
              <w:t>序号</w:t>
            </w:r>
          </w:p>
        </w:tc>
        <w:tc>
          <w:tcPr>
            <w:tcW w:w="1024" w:type="dxa"/>
            <w:vAlign w:val="center"/>
          </w:tcPr>
          <w:p w14:paraId="4ED1BE59">
            <w:pPr>
              <w:spacing w:line="360" w:lineRule="auto"/>
              <w:rPr>
                <w:rFonts w:hint="eastAsia" w:ascii="宋体" w:hAnsi="宋体" w:eastAsia="宋体" w:cs="宋体"/>
                <w:b/>
                <w:bCs/>
                <w:szCs w:val="21"/>
              </w:rPr>
            </w:pPr>
            <w:r>
              <w:rPr>
                <w:rFonts w:hint="eastAsia" w:ascii="宋体" w:hAnsi="宋体" w:eastAsia="宋体" w:cs="宋体"/>
                <w:b/>
                <w:bCs/>
                <w:szCs w:val="21"/>
              </w:rPr>
              <w:t>模块</w:t>
            </w:r>
          </w:p>
        </w:tc>
        <w:tc>
          <w:tcPr>
            <w:tcW w:w="6379" w:type="dxa"/>
            <w:vAlign w:val="center"/>
          </w:tcPr>
          <w:p w14:paraId="5F803F29">
            <w:pPr>
              <w:spacing w:line="360" w:lineRule="auto"/>
              <w:rPr>
                <w:rFonts w:hint="eastAsia" w:ascii="宋体" w:hAnsi="宋体" w:eastAsia="宋体" w:cs="宋体"/>
                <w:b/>
                <w:bCs/>
                <w:szCs w:val="21"/>
              </w:rPr>
            </w:pPr>
            <w:r>
              <w:rPr>
                <w:rFonts w:hint="eastAsia" w:ascii="宋体" w:hAnsi="宋体" w:eastAsia="宋体" w:cs="宋体"/>
                <w:b/>
                <w:bCs/>
                <w:szCs w:val="21"/>
              </w:rPr>
              <w:t>功能描述</w:t>
            </w:r>
          </w:p>
        </w:tc>
      </w:tr>
      <w:tr w14:paraId="5CAD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85" w:type="dxa"/>
            <w:vAlign w:val="center"/>
          </w:tcPr>
          <w:p w14:paraId="7153344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24" w:type="dxa"/>
            <w:vAlign w:val="center"/>
          </w:tcPr>
          <w:p w14:paraId="200A42CB">
            <w:pPr>
              <w:spacing w:line="360" w:lineRule="auto"/>
              <w:jc w:val="center"/>
              <w:rPr>
                <w:rFonts w:hint="eastAsia" w:ascii="宋体" w:hAnsi="宋体" w:eastAsia="宋体" w:cs="宋体"/>
                <w:szCs w:val="21"/>
              </w:rPr>
            </w:pPr>
            <w:r>
              <w:rPr>
                <w:rFonts w:hint="eastAsia" w:ascii="宋体" w:hAnsi="宋体" w:eastAsia="宋体" w:cs="宋体"/>
                <w:szCs w:val="21"/>
              </w:rPr>
              <w:t>系统适用场景</w:t>
            </w:r>
          </w:p>
        </w:tc>
        <w:tc>
          <w:tcPr>
            <w:tcW w:w="6379" w:type="dxa"/>
            <w:vAlign w:val="center"/>
          </w:tcPr>
          <w:p w14:paraId="44B130E6">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内窥镜检查/手术治疗、口腔舒适化、妇产科检查/手术、分娩镇痛、儿童镇静、内镜麻醉复苏室、门诊/日间手术室恢复室等手术室外麻醉及麻醉复苏至少25个点位，包含内窥镜17个，产房2个，门诊手术室2个，恢复室4个（投标人提供承诺函并加盖鲜章）；</w:t>
            </w:r>
          </w:p>
        </w:tc>
      </w:tr>
      <w:tr w14:paraId="3971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11F22515">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024" w:type="dxa"/>
            <w:vAlign w:val="center"/>
          </w:tcPr>
          <w:p w14:paraId="118541CA">
            <w:pPr>
              <w:spacing w:line="360" w:lineRule="auto"/>
              <w:jc w:val="center"/>
              <w:rPr>
                <w:rFonts w:hint="eastAsia" w:ascii="宋体" w:hAnsi="宋体" w:eastAsia="宋体" w:cs="宋体"/>
                <w:szCs w:val="21"/>
              </w:rPr>
            </w:pPr>
            <w:r>
              <w:rPr>
                <w:rFonts w:hint="eastAsia" w:ascii="宋体" w:hAnsi="宋体" w:eastAsia="宋体" w:cs="宋体"/>
                <w:szCs w:val="21"/>
              </w:rPr>
              <w:t>基本系统要求</w:t>
            </w:r>
          </w:p>
        </w:tc>
        <w:tc>
          <w:tcPr>
            <w:tcW w:w="6379" w:type="dxa"/>
            <w:vAlign w:val="center"/>
          </w:tcPr>
          <w:p w14:paraId="4039ADD6">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至少具备操作间医生模块、复苏室模块、患者详情总览模块、患者查询模块、儿童镇静护士模块、数据统计管理模块（提供软件界面截图并加盖鲜章）；</w:t>
            </w:r>
          </w:p>
          <w:p w14:paraId="7FCEC135">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系统具备手机端、平板端、PC端的适配程序（提供系统分别运行在手机端、平板端、PC端的实物运行照片佐证并加盖鲜章）；</w:t>
            </w:r>
          </w:p>
          <w:p w14:paraId="39D6FF9F">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支持从HIS系统提取患者姓名、性别、年龄、诊断、住院号、登记号、手术/检查名称等基本信息（提供软件界面截图并加盖鲜章）；</w:t>
            </w:r>
          </w:p>
          <w:p w14:paraId="081949DC">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支持新建患者，填写患者姓名、性别、年龄、电话、A</w:t>
            </w:r>
            <w:r>
              <w:rPr>
                <w:rFonts w:ascii="宋体" w:hAnsi="宋体" w:eastAsia="宋体" w:cs="宋体"/>
                <w:szCs w:val="21"/>
              </w:rPr>
              <w:t>SA</w:t>
            </w:r>
            <w:r>
              <w:rPr>
                <w:rFonts w:hint="eastAsia" w:ascii="宋体" w:hAnsi="宋体" w:eastAsia="宋体" w:cs="宋体"/>
                <w:szCs w:val="21"/>
              </w:rPr>
              <w:t>分级、就诊类型、就诊类型标识；</w:t>
            </w:r>
          </w:p>
          <w:p w14:paraId="4D334142">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具备留置针标识、特殊病人标识，具备体重填写；</w:t>
            </w:r>
          </w:p>
          <w:p w14:paraId="425B4DA1">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至少具备体温、呼吸频率、心率、氧饱和度、脉搏、舒张压、收缩压等生命体征自动抓取并生成记录打印（提供软件界面截图并加盖鲜章）；</w:t>
            </w:r>
          </w:p>
          <w:p w14:paraId="43BDEC5C">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支持在投标系统上实时共享显示我院现有无线多参数监护设备的生理报警提示，提示种类不少于7种，即体温、呼吸频率、心率、氧饱和度、脉搏、舒张压、收缩压的异常提示（提供软件界面截图并加盖鲜章）；</w:t>
            </w:r>
          </w:p>
          <w:p w14:paraId="68215B36">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支持后台自定义麻醉评估单，支持针对不同检查/手术类型使用不同的麻醉评估单，支持打印麻醉评估单、修改评估单模板；</w:t>
            </w:r>
          </w:p>
          <w:p w14:paraId="62B525FE">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支持选择检查类型，包括内窥镜检查/手术治疗、口腔舒适化、妇产科检查/手术、分娩镇痛、儿童镇静等；</w:t>
            </w:r>
          </w:p>
          <w:p w14:paraId="5A7F7962">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内窥镜检查/手术治疗项目至少包括肠镜、胃镜、纤支镜、输尿管镜检；</w:t>
            </w:r>
          </w:p>
          <w:p w14:paraId="676084F5">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妇产科检查/手术项目至少包括宫腔镜、人流、分娩镇；</w:t>
            </w:r>
          </w:p>
          <w:p w14:paraId="7CD99B78">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儿童镇静检查类型支持检查项目至少包括超声、MRI、眼压、脑电图、CT、肛肠、神经功能、心电图；（提供软件界面截图并加盖鲜章）</w:t>
            </w:r>
          </w:p>
          <w:p w14:paraId="432E3D16">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口腔舒适化手术类型支持手术项目至少包括清创缝合、拔牙、活检、种植、唇系带、舌系带、口颌面部、粘液腺囊肿、牙体牙髓治疗、开窗减压；</w:t>
            </w:r>
          </w:p>
          <w:p w14:paraId="5FEA3D72">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门诊介入检查类型支持检查项目至少包括神经介入、超声介入、其他；</w:t>
            </w:r>
          </w:p>
          <w:p w14:paraId="3844310E">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支持选择禁饮、禁食的情况；具备禁食、禁饮时间填写，并根据填写的禁食、禁饮时间自动计算出已禁食禁饮多少时间（提供软件界面截图并加盖鲜章）；</w:t>
            </w:r>
          </w:p>
          <w:p w14:paraId="2B1ABC7B">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提供患者列表，列表包含姓名、性别、年龄、患者登记号、ASA评级、检查日期、评估单完成情况、医嘱完成情况、知情同意书签字情况、缴费情况、检查项目、疾病诊断；</w:t>
            </w:r>
          </w:p>
          <w:p w14:paraId="3BBD7EB8">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支持显示患者列表，无痛内镜、口腔舒适化、无痛妇产、门诊介入、儿童镇静应用场景分别显示自己场景中的今日患者数据；</w:t>
            </w:r>
          </w:p>
          <w:p w14:paraId="6FB32FFC">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药物剂量支持公式计算，药物剂量填写支持一键导入公式计算结果；支持填写医嘱单，包括药品名称、剂量，支持建议给药时间；选中患者支持查看麻醉评估时支持显示患者基本信息、编辑基本信息；支持历史评估内容查看；</w:t>
            </w:r>
          </w:p>
          <w:p w14:paraId="4844B9E7">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支持呼叫患者就诊；</w:t>
            </w:r>
          </w:p>
          <w:p w14:paraId="0F9CA75E">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支持显示患者二维码，二维码中包含选中患者ID；支持显示是否佩戴设备、设备是否退还；</w:t>
            </w:r>
          </w:p>
          <w:p w14:paraId="07CD6977">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支持取消检查、删档；</w:t>
            </w:r>
          </w:p>
          <w:p w14:paraId="6E53A310">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支持对接我院现有无线多参数监护设备及台式监护仪使用，抓取患者生命体征，自动生成麻醉记录单（提供作证材料并加盖鲜章）；</w:t>
            </w:r>
          </w:p>
          <w:p w14:paraId="19A39CCB">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支持与我院现有无线多参数监护设备的患者转运状态打通，即基于无线多参数监护设备所属系统中的患者入室、出室、入P</w:t>
            </w:r>
            <w:r>
              <w:rPr>
                <w:rFonts w:ascii="宋体" w:hAnsi="宋体" w:eastAsia="宋体" w:cs="宋体"/>
                <w:szCs w:val="21"/>
              </w:rPr>
              <w:t>ACU</w:t>
            </w:r>
            <w:r>
              <w:rPr>
                <w:rFonts w:hint="eastAsia" w:ascii="宋体" w:hAnsi="宋体" w:eastAsia="宋体" w:cs="宋体"/>
                <w:szCs w:val="21"/>
              </w:rPr>
              <w:t>、出P</w:t>
            </w:r>
            <w:r>
              <w:rPr>
                <w:rFonts w:ascii="宋体" w:hAnsi="宋体" w:eastAsia="宋体" w:cs="宋体"/>
                <w:szCs w:val="21"/>
              </w:rPr>
              <w:t>ACU</w:t>
            </w:r>
            <w:r>
              <w:rPr>
                <w:rFonts w:hint="eastAsia" w:ascii="宋体" w:hAnsi="宋体" w:eastAsia="宋体" w:cs="宋体"/>
                <w:szCs w:val="21"/>
              </w:rPr>
              <w:t>等至少4个节点可以自动记录到手术室外麻醉系统（提供作证材料并加盖鲜章）；</w:t>
            </w:r>
          </w:p>
          <w:p w14:paraId="34C2D484">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提供功能包含“手术室外麻醉管理”的软件著作权证书；</w:t>
            </w:r>
          </w:p>
          <w:p w14:paraId="315F8B58">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系统服务应部署于国内至少一家三甲医院（提供对应三甲医院出具的应用证明材料或对应三甲医院作为第一单位发表的系统服务流程优化相关的文献佐证材料）；</w:t>
            </w:r>
          </w:p>
        </w:tc>
      </w:tr>
      <w:tr w14:paraId="2546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6" w:hRule="atLeast"/>
        </w:trPr>
        <w:tc>
          <w:tcPr>
            <w:tcW w:w="785" w:type="dxa"/>
            <w:vAlign w:val="center"/>
          </w:tcPr>
          <w:p w14:paraId="51B194DB">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024" w:type="dxa"/>
            <w:vAlign w:val="center"/>
          </w:tcPr>
          <w:p w14:paraId="24A878FE">
            <w:pPr>
              <w:spacing w:line="360" w:lineRule="auto"/>
              <w:jc w:val="center"/>
              <w:rPr>
                <w:rFonts w:hint="eastAsia" w:ascii="宋体" w:hAnsi="宋体" w:eastAsia="宋体" w:cs="宋体"/>
                <w:szCs w:val="21"/>
              </w:rPr>
            </w:pPr>
            <w:r>
              <w:rPr>
                <w:rFonts w:hint="eastAsia" w:ascii="宋体" w:hAnsi="宋体" w:eastAsia="宋体" w:cs="宋体"/>
                <w:szCs w:val="21"/>
              </w:rPr>
              <w:t>操作间医生模块</w:t>
            </w:r>
          </w:p>
        </w:tc>
        <w:tc>
          <w:tcPr>
            <w:tcW w:w="6379" w:type="dxa"/>
            <w:vAlign w:val="center"/>
          </w:tcPr>
          <w:p w14:paraId="6E365D2C">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儿童镇静应用场景事件至少包含：确认用药、镇静生效、检查结束、确认复苏；（提供软件界面截图并加盖鲜章）</w:t>
            </w:r>
          </w:p>
          <w:p w14:paraId="36A143F7">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无痛内镜、口腔舒适化、门诊介入应用场景事件至少包含：入室、麻醉开始、手术/检查开始、手术/检查结束、出室、入复苏室、麻醉结束；</w:t>
            </w:r>
          </w:p>
          <w:p w14:paraId="63B9329F">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分娩镇痛应用场景流程至少包含：麻醉开始、试探剂量给入，首次给药、追加给药、停止给药；</w:t>
            </w:r>
          </w:p>
          <w:p w14:paraId="52D7DA13">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支持采集并记录场景对应生命体征数据，至少包含体温、呼吸频率、心率、氧饱和度、脉搏、舒张压、收缩压；</w:t>
            </w:r>
          </w:p>
          <w:p w14:paraId="3DD5DC5A">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支持入操作间后进行快速麻醉评估并生成麻醉评估结论；</w:t>
            </w:r>
          </w:p>
          <w:p w14:paraId="50732D2E">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支持不良事件查看、记录、修改、删除；</w:t>
            </w:r>
          </w:p>
          <w:p w14:paraId="6D99184C">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支持根据应用场景流程记录自动生成麻醉记录单；</w:t>
            </w:r>
          </w:p>
        </w:tc>
      </w:tr>
      <w:tr w14:paraId="47DE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85" w:type="dxa"/>
            <w:vAlign w:val="center"/>
          </w:tcPr>
          <w:p w14:paraId="0B5E467E">
            <w:pPr>
              <w:spacing w:line="360" w:lineRule="auto"/>
              <w:jc w:val="center"/>
              <w:rPr>
                <w:rFonts w:hint="eastAsia" w:ascii="宋体" w:hAnsi="宋体" w:eastAsia="宋体" w:cs="宋体"/>
                <w:szCs w:val="21"/>
              </w:rPr>
            </w:pPr>
          </w:p>
        </w:tc>
        <w:tc>
          <w:tcPr>
            <w:tcW w:w="1024" w:type="dxa"/>
            <w:vAlign w:val="center"/>
          </w:tcPr>
          <w:p w14:paraId="3AC2FB62">
            <w:pPr>
              <w:spacing w:line="360" w:lineRule="auto"/>
              <w:jc w:val="center"/>
              <w:rPr>
                <w:rFonts w:hint="eastAsia" w:ascii="宋体" w:hAnsi="宋体" w:eastAsia="宋体" w:cs="宋体"/>
                <w:szCs w:val="21"/>
              </w:rPr>
            </w:pPr>
            <w:r>
              <w:rPr>
                <w:rFonts w:hint="eastAsia" w:ascii="宋体" w:hAnsi="宋体" w:eastAsia="宋体" w:cs="宋体"/>
                <w:szCs w:val="21"/>
              </w:rPr>
              <w:t>复苏模块</w:t>
            </w:r>
          </w:p>
        </w:tc>
        <w:tc>
          <w:tcPr>
            <w:tcW w:w="6379" w:type="dxa"/>
            <w:vAlign w:val="center"/>
          </w:tcPr>
          <w:p w14:paraId="6532AD80">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支持查看检查/手术中、复苏中、复苏完成的患者信息，至少包括患者姓名、性别、年龄、ASA评级、检查/手术项目、入复苏室时间、当前复苏时长（提供软件界面截图并加盖鲜章）；</w:t>
            </w:r>
          </w:p>
          <w:p w14:paraId="6436EB9A">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支持记录患者转入复苏室时间、复苏完成时间及苏醒评分、清醒程度评分，并生成复苏记录单；</w:t>
            </w:r>
          </w:p>
          <w:p w14:paraId="29F96690">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支持复苏前、复苏中、复苏后分区显示患者，一键转运患者；</w:t>
            </w:r>
          </w:p>
          <w:p w14:paraId="5FE06034">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具备复苏患者的中央管理页面，同一页面显示所有复苏中的患者；</w:t>
            </w:r>
          </w:p>
          <w:p w14:paraId="3DD78614">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复苏中央管理页面应对复苏患者的生命体征集中实时显示，并区分数据来源于无线监护或台式监护设备（提供软件界面截图并加盖鲜章）；</w:t>
            </w:r>
          </w:p>
          <w:p w14:paraId="103F8948">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复苏工作站支持添加复苏时使用药品记录；</w:t>
            </w:r>
          </w:p>
          <w:p w14:paraId="708244BA">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支持完成复苏后，自动补齐生成麻醉记录单；</w:t>
            </w:r>
          </w:p>
          <w:p w14:paraId="50938EE7">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支持复苏后无线生命体征监护设备解绑回收记录；</w:t>
            </w:r>
          </w:p>
        </w:tc>
      </w:tr>
      <w:tr w14:paraId="19AD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2CAB9E2F">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024" w:type="dxa"/>
            <w:vAlign w:val="center"/>
          </w:tcPr>
          <w:p w14:paraId="4EE04511">
            <w:pPr>
              <w:spacing w:line="360" w:lineRule="auto"/>
              <w:jc w:val="center"/>
              <w:rPr>
                <w:rFonts w:hint="eastAsia" w:ascii="宋体" w:hAnsi="宋体" w:eastAsia="宋体" w:cs="宋体"/>
                <w:szCs w:val="21"/>
              </w:rPr>
            </w:pPr>
            <w:r>
              <w:rPr>
                <w:rFonts w:hint="eastAsia" w:ascii="宋体" w:hAnsi="宋体" w:eastAsia="宋体" w:cs="宋体"/>
                <w:szCs w:val="21"/>
              </w:rPr>
              <w:t>患者详情总览模块</w:t>
            </w:r>
          </w:p>
        </w:tc>
        <w:tc>
          <w:tcPr>
            <w:tcW w:w="6379" w:type="dxa"/>
            <w:vAlign w:val="center"/>
          </w:tcPr>
          <w:p w14:paraId="0CC68EC5">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支持查看患者详情，数据至少包含建档时间、患者姓名、性别、年龄、患者登记号/住院号、ASA评级、体重、体温、血氧饱和度、心率；</w:t>
            </w:r>
          </w:p>
          <w:p w14:paraId="385FDD21">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支持显示麻醉深度评分、苏醒评分、离院评分、VAS评分；</w:t>
            </w:r>
          </w:p>
          <w:p w14:paraId="50B3125B">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支持查看检查的执行状态，执行状态包含导医单是否填写、评估单是否填写、知情同意书是否已打印、医嘱单是否已填写、是否缴费，是否用药，是否复苏；</w:t>
            </w:r>
          </w:p>
          <w:p w14:paraId="00D3FEF6">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支持查看患者历史检查详情；</w:t>
            </w:r>
          </w:p>
          <w:p w14:paraId="5FE8C4EF">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支持不良事件查看、记录、修改、删除；</w:t>
            </w:r>
          </w:p>
          <w:p w14:paraId="7FD7ED0C">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支持对不良事件分级，并记录针对不良事件采取的措施、不良事件的结局。支持不良事件发生的时间、经过、原因分析、改进措施的填写；（提供软件界面截图并加盖鲜章）</w:t>
            </w:r>
          </w:p>
        </w:tc>
      </w:tr>
      <w:tr w14:paraId="0765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3F1319A5">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024" w:type="dxa"/>
            <w:vMerge w:val="restart"/>
            <w:vAlign w:val="center"/>
          </w:tcPr>
          <w:p w14:paraId="5ACBB4FE">
            <w:pPr>
              <w:spacing w:line="360" w:lineRule="auto"/>
              <w:jc w:val="center"/>
              <w:rPr>
                <w:rFonts w:hint="eastAsia" w:ascii="宋体" w:hAnsi="宋体" w:eastAsia="宋体" w:cs="宋体"/>
                <w:szCs w:val="21"/>
              </w:rPr>
            </w:pPr>
            <w:r>
              <w:rPr>
                <w:rFonts w:hint="eastAsia" w:ascii="宋体" w:hAnsi="宋体" w:eastAsia="宋体" w:cs="宋体"/>
                <w:szCs w:val="21"/>
              </w:rPr>
              <w:t>患者查询模块</w:t>
            </w:r>
          </w:p>
        </w:tc>
        <w:tc>
          <w:tcPr>
            <w:tcW w:w="6379" w:type="dxa"/>
            <w:vAlign w:val="center"/>
          </w:tcPr>
          <w:p w14:paraId="53EB5D3F">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支持按病区、应用场景、患者姓名、患者登记号/住院号、和日期进行复合查询；</w:t>
            </w:r>
          </w:p>
        </w:tc>
      </w:tr>
      <w:tr w14:paraId="70F7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4E72D88F">
            <w:pPr>
              <w:spacing w:line="360" w:lineRule="auto"/>
              <w:rPr>
                <w:rFonts w:hint="eastAsia" w:ascii="宋体" w:hAnsi="宋体" w:eastAsia="宋体" w:cs="宋体"/>
                <w:szCs w:val="21"/>
              </w:rPr>
            </w:pPr>
          </w:p>
        </w:tc>
        <w:tc>
          <w:tcPr>
            <w:tcW w:w="1024" w:type="dxa"/>
            <w:vMerge w:val="continue"/>
            <w:vAlign w:val="center"/>
          </w:tcPr>
          <w:p w14:paraId="26EAB321">
            <w:pPr>
              <w:spacing w:line="360" w:lineRule="auto"/>
              <w:rPr>
                <w:rFonts w:hint="eastAsia" w:ascii="宋体" w:hAnsi="宋体" w:eastAsia="宋体" w:cs="宋体"/>
                <w:szCs w:val="21"/>
              </w:rPr>
            </w:pPr>
          </w:p>
        </w:tc>
        <w:tc>
          <w:tcPr>
            <w:tcW w:w="6379" w:type="dxa"/>
            <w:vAlign w:val="center"/>
          </w:tcPr>
          <w:p w14:paraId="14E6AFEA">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查询内容支持患者登记号/住院号、姓名、年龄、性别、体重、检查项目、疾病诊断、ASA评级、评估单是否填写、医嘱是否下达、知情同意书是否签字、缴费情况、是否用药、确认复苏标识、电话号码；</w:t>
            </w:r>
          </w:p>
        </w:tc>
      </w:tr>
      <w:tr w14:paraId="1483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CB5D847">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024" w:type="dxa"/>
            <w:vAlign w:val="center"/>
          </w:tcPr>
          <w:p w14:paraId="4736FB54">
            <w:pPr>
              <w:spacing w:line="360" w:lineRule="auto"/>
              <w:jc w:val="center"/>
              <w:rPr>
                <w:rFonts w:hint="eastAsia" w:ascii="宋体" w:hAnsi="宋体" w:eastAsia="宋体" w:cs="宋体"/>
                <w:szCs w:val="21"/>
              </w:rPr>
            </w:pPr>
            <w:r>
              <w:rPr>
                <w:rFonts w:hint="eastAsia" w:ascii="宋体" w:hAnsi="宋体" w:eastAsia="宋体" w:cs="宋体"/>
                <w:szCs w:val="21"/>
              </w:rPr>
              <w:t>儿童镇静护士模块</w:t>
            </w:r>
          </w:p>
        </w:tc>
        <w:tc>
          <w:tcPr>
            <w:tcW w:w="6379" w:type="dxa"/>
            <w:vAlign w:val="center"/>
          </w:tcPr>
          <w:p w14:paraId="23548FB2">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具备查看今日儿童镇静所有检查项目，具备查看今日所有检查项目的汇总人数、今日住院汇总、今日门诊汇总、今日静脉汇总。支持按全部检查类型、超声、MRI 1.5T、MRI 3.0T、眼压、胃肠镜、脑电图、CT平扫、肺功能、肛肠、神经功能、听力、纤支镜、CT增强、心电图筛选今日数据, 支持按检查项目与执行状态复合筛选今日数据，执行状态包括未用药、已用药、检查中、复苏中、已完成、未完成、所有状态；（提供软件界面截图并加盖鲜章）</w:t>
            </w:r>
          </w:p>
          <w:p w14:paraId="7E1972C2">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患者列表显示患者登记号/住院号、姓名、年龄、性别、体重、检查项目、检查部位、疾病诊断、禁食禁饮时长、联系电话、镇静方案、镇静评分、苏醒评分；</w:t>
            </w:r>
          </w:p>
          <w:p w14:paraId="3154672D">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支持填写检查状态，信息包括确认用药、用药信息、镇静生效、检查结束、确认复苏、确认复苏时的SPO2、PR、HR值、提交时间、提交人姓名；</w:t>
            </w:r>
          </w:p>
          <w:p w14:paraId="0E06F601">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支持镇静评分和苏醒评分、等待时长、治疗时长、镇静时长的填写；</w:t>
            </w:r>
          </w:p>
          <w:p w14:paraId="3C1830DF">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支持删除检查，支持恢复已删除的检查，支持查询历史删除检查列表，支持导出当前患者检查信息列表中的内容到Excel；</w:t>
            </w:r>
          </w:p>
          <w:p w14:paraId="0717B0CF">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支持患者在多个检查中心之间转诊，并显示转诊标识；（提供软件界面截图并加盖鲜章）</w:t>
            </w:r>
          </w:p>
          <w:p w14:paraId="32E6A7DA">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支持生成并查看质量与安全管理情况汇报表；</w:t>
            </w:r>
          </w:p>
          <w:p w14:paraId="55C227F1">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可根据具体临床实施后进行项目增加、修改调整；</w:t>
            </w:r>
          </w:p>
        </w:tc>
      </w:tr>
      <w:tr w14:paraId="6D03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06C53CC1">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024" w:type="dxa"/>
            <w:vAlign w:val="center"/>
          </w:tcPr>
          <w:p w14:paraId="57B85DE0">
            <w:pPr>
              <w:spacing w:line="360" w:lineRule="auto"/>
              <w:jc w:val="center"/>
              <w:rPr>
                <w:rFonts w:hint="eastAsia" w:ascii="宋体" w:hAnsi="宋体" w:eastAsia="宋体" w:cs="宋体"/>
                <w:szCs w:val="21"/>
              </w:rPr>
            </w:pPr>
            <w:r>
              <w:rPr>
                <w:rFonts w:hint="eastAsia" w:ascii="宋体" w:hAnsi="宋体" w:eastAsia="宋体" w:cs="宋体"/>
                <w:szCs w:val="21"/>
              </w:rPr>
              <w:t>数据统计管理模块</w:t>
            </w:r>
          </w:p>
        </w:tc>
        <w:tc>
          <w:tcPr>
            <w:tcW w:w="6379" w:type="dxa"/>
            <w:vAlign w:val="center"/>
          </w:tcPr>
          <w:p w14:paraId="56F64931">
            <w:pPr>
              <w:numPr>
                <w:ilvl w:val="0"/>
                <w:numId w:val="1"/>
              </w:numPr>
              <w:spacing w:line="360" w:lineRule="auto"/>
              <w:rPr>
                <w:rFonts w:hint="eastAsia" w:ascii="宋体" w:hAnsi="宋体" w:eastAsia="宋体" w:cs="宋体"/>
                <w:szCs w:val="21"/>
              </w:rPr>
            </w:pPr>
            <w:r>
              <w:rPr>
                <w:rFonts w:hint="eastAsia" w:ascii="宋体" w:hAnsi="宋体" w:eastAsia="宋体" w:cs="宋体"/>
                <w:szCs w:val="21"/>
                <w:shd w:val="clear" w:color="auto" w:fill="FFFFFF"/>
              </w:rPr>
              <w:t>业务量统计：具备根据时间范围统计麻醉总量、</w:t>
            </w:r>
            <w:r>
              <w:rPr>
                <w:rFonts w:hint="eastAsia" w:ascii="宋体" w:hAnsi="宋体" w:eastAsia="宋体" w:cs="宋体"/>
                <w:szCs w:val="21"/>
              </w:rPr>
              <w:t>无痛内镜总量、口腔舒适化总量、无痛妇产总量、门诊介入总量、儿童镇静总量、</w:t>
            </w:r>
            <w:r>
              <w:rPr>
                <w:rFonts w:hint="eastAsia" w:ascii="宋体" w:hAnsi="宋体" w:eastAsia="宋体" w:cs="宋体"/>
                <w:szCs w:val="21"/>
                <w:shd w:val="clear" w:color="auto" w:fill="FFFFFF"/>
              </w:rPr>
              <w:t>ASA评级Ⅲ级以上病人总量；</w:t>
            </w:r>
          </w:p>
          <w:p w14:paraId="4162CF71">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质控统计：支持查看门诊和住院患者比，入室后手术室外麻醉取消率、麻醉期间严重反流误吸发生率、麻醉期间严重过敏反应发生率；</w:t>
            </w:r>
          </w:p>
          <w:p w14:paraId="06BCF872">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周转统计：支持查看各应用场景复苏平均时间、出入室平均时间；</w:t>
            </w:r>
          </w:p>
          <w:p w14:paraId="1A93F174">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不良事件及工作量统计：支持统计不良事件、总工作量、各应用场景工作量变化曲线图；</w:t>
            </w:r>
          </w:p>
          <w:p w14:paraId="38A29FEB">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支持不良事件、检查项目、病区、镇静方式配置，包含新增、修改、删除；</w:t>
            </w:r>
          </w:p>
          <w:p w14:paraId="51DDDDBA">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后台支持账号管理，账号至少具备用户名称、登录名、密码；</w:t>
            </w:r>
          </w:p>
          <w:p w14:paraId="478FFCDD">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支持在不小于5</w:t>
            </w:r>
            <w:r>
              <w:rPr>
                <w:rFonts w:ascii="宋体" w:hAnsi="宋体" w:eastAsia="宋体" w:cs="宋体"/>
                <w:szCs w:val="21"/>
              </w:rPr>
              <w:t>5</w:t>
            </w:r>
            <w:r>
              <w:rPr>
                <w:rFonts w:hint="eastAsia" w:ascii="宋体" w:hAnsi="宋体" w:eastAsia="宋体" w:cs="宋体"/>
                <w:szCs w:val="21"/>
              </w:rPr>
              <w:t>英寸大屏幕上运行的手术室外麻醉大数据看板，看板页面至少包含业务量统计、质控统计、周转统计、不良事件统计、和工作量统计（提供看板运行在大屏幕上的实景照片佐证并加盖鲜章）；</w:t>
            </w:r>
          </w:p>
          <w:p w14:paraId="79E49162">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支持与HIS/集成平台、电子签名、电子病历等系统进行对接；</w:t>
            </w:r>
          </w:p>
          <w:p w14:paraId="50AA5A68">
            <w:pPr>
              <w:numPr>
                <w:ilvl w:val="0"/>
                <w:numId w:val="1"/>
              </w:numPr>
              <w:spacing w:line="360" w:lineRule="auto"/>
              <w:rPr>
                <w:rFonts w:hint="eastAsia" w:ascii="宋体" w:hAnsi="宋体" w:eastAsia="宋体" w:cs="宋体"/>
                <w:szCs w:val="21"/>
              </w:rPr>
            </w:pPr>
            <w:r>
              <w:rPr>
                <w:rFonts w:hint="eastAsia" w:ascii="宋体" w:hAnsi="宋体" w:eastAsia="宋体" w:cs="宋体"/>
                <w:szCs w:val="21"/>
              </w:rPr>
              <w:t>支持与医院门诊检查预约系统进行对接；</w:t>
            </w:r>
          </w:p>
          <w:p w14:paraId="325B20B9">
            <w:pPr>
              <w:numPr>
                <w:ilvl w:val="0"/>
                <w:numId w:val="1"/>
              </w:numPr>
              <w:spacing w:line="360" w:lineRule="auto"/>
              <w:rPr>
                <w:rFonts w:hint="eastAsia" w:ascii="宋体" w:hAnsi="宋体" w:eastAsia="宋体" w:cs="宋体"/>
                <w:color w:val="FF0000"/>
                <w:szCs w:val="21"/>
              </w:rPr>
            </w:pPr>
            <w:r>
              <w:rPr>
                <w:rFonts w:hint="eastAsia" w:ascii="宋体" w:hAnsi="宋体" w:eastAsia="宋体" w:cs="宋体"/>
                <w:szCs w:val="21"/>
              </w:rPr>
              <w:t>系统与医院的HIS系统、信息平台以及后期其它信息系统与其对接时均需免费提供接口。</w:t>
            </w:r>
          </w:p>
        </w:tc>
      </w:tr>
    </w:tbl>
    <w:p w14:paraId="2C885F07">
      <w:pPr>
        <w:pStyle w:val="19"/>
        <w:spacing w:before="0" w:beforeAutospacing="0" w:after="0" w:afterAutospacing="0" w:line="360" w:lineRule="auto"/>
        <w:ind w:firstLine="482" w:firstLineChars="200"/>
        <w:jc w:val="both"/>
        <w:rPr>
          <w:rFonts w:hint="eastAsia" w:ascii="宋体" w:hAnsi="宋体" w:eastAsia="宋体" w:cs="宋体"/>
          <w:color w:val="000000"/>
          <w:highlight w:val="yellow"/>
        </w:rPr>
      </w:pPr>
      <w:r>
        <w:rPr>
          <w:rFonts w:hint="eastAsia" w:ascii="宋体" w:hAnsi="宋体" w:eastAsia="宋体" w:cs="宋体"/>
          <w:b/>
          <w:bCs/>
          <w:color w:val="000000"/>
        </w:rPr>
        <w:t>二、硬件需求</w:t>
      </w:r>
    </w:p>
    <w:p w14:paraId="06B2595A">
      <w:pPr>
        <w:pStyle w:val="19"/>
        <w:spacing w:before="0" w:beforeAutospacing="0" w:after="0" w:afterAutospacing="0" w:line="360" w:lineRule="auto"/>
        <w:ind w:firstLine="480" w:firstLineChars="200"/>
        <w:jc w:val="both"/>
        <w:rPr>
          <w:rFonts w:hint="default" w:ascii="宋体" w:hAnsi="宋体" w:eastAsia="宋体" w:cs="宋体"/>
          <w:color w:val="000000"/>
          <w:lang w:val="en-US"/>
        </w:rPr>
      </w:pPr>
      <w:r>
        <w:rPr>
          <w:rFonts w:hint="eastAsia" w:ascii="宋体" w:hAnsi="宋体" w:eastAsia="宋体" w:cs="宋体"/>
          <w:color w:val="000000"/>
        </w:rPr>
        <w:t>根据项目的需求，中标供应商提供其对应的产品设计、研发、实施等流程所需要的计算机资源服务、存储资源服务</w:t>
      </w:r>
      <w:r>
        <w:rPr>
          <w:rFonts w:hint="eastAsia" w:ascii="宋体" w:hAnsi="宋体" w:eastAsia="宋体" w:cs="宋体"/>
          <w:color w:val="000000"/>
          <w:lang w:val="en-US" w:eastAsia="zh-CN"/>
        </w:rPr>
        <w:t>，其中央处理器、操作系统和集中式数据库，在“中国信息安全测评中心”或“国家保密科技测评中心”发布的“安全可靠测评结果公告”名单内，或者已取得由国家认定检测机构出具的包含CNAS或CMA资质的检测合格报告。至少满足以下要求：</w:t>
      </w:r>
    </w:p>
    <w:p w14:paraId="031A81F4">
      <w:pPr>
        <w:pStyle w:val="19"/>
        <w:spacing w:line="360" w:lineRule="auto"/>
        <w:ind w:firstLine="480" w:firstLineChars="200"/>
        <w:rPr>
          <w:rFonts w:hint="eastAsia" w:ascii="宋体" w:hAnsi="宋体" w:eastAsia="宋体" w:cs="宋体"/>
          <w:color w:val="000000"/>
        </w:rPr>
      </w:pPr>
      <w:r>
        <w:rPr>
          <w:rFonts w:ascii="宋体" w:hAnsi="宋体" w:eastAsia="宋体" w:cs="宋体"/>
          <w:color w:val="000000"/>
        </w:rPr>
        <w:t>CPU</w:t>
      </w:r>
      <w:r>
        <w:rPr>
          <w:rFonts w:hint="eastAsia" w:ascii="宋体" w:hAnsi="宋体" w:eastAsia="宋体" w:cs="宋体"/>
          <w:color w:val="000000"/>
        </w:rPr>
        <w:t>：</w:t>
      </w:r>
      <w:r>
        <w:rPr>
          <w:rFonts w:ascii="宋体" w:hAnsi="宋体" w:eastAsia="宋体" w:cs="宋体"/>
          <w:color w:val="000000"/>
        </w:rPr>
        <w:t>8</w:t>
      </w:r>
      <w:r>
        <w:rPr>
          <w:rFonts w:hint="eastAsia" w:ascii="宋体" w:hAnsi="宋体" w:eastAsia="宋体" w:cs="宋体"/>
          <w:color w:val="000000"/>
        </w:rPr>
        <w:t>核</w:t>
      </w:r>
    </w:p>
    <w:p w14:paraId="2AF82038">
      <w:pPr>
        <w:pStyle w:val="19"/>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内存：16GB</w:t>
      </w:r>
    </w:p>
    <w:p w14:paraId="0BF8CF21">
      <w:pPr>
        <w:pStyle w:val="19"/>
        <w:spacing w:before="0" w:beforeAutospacing="0" w:after="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硬盘：</w:t>
      </w:r>
      <w:r>
        <w:rPr>
          <w:rFonts w:ascii="宋体" w:hAnsi="宋体" w:eastAsia="宋体" w:cs="宋体"/>
          <w:color w:val="000000"/>
        </w:rPr>
        <w:t>1</w:t>
      </w:r>
      <w:r>
        <w:rPr>
          <w:rFonts w:hint="eastAsia" w:ascii="宋体" w:hAnsi="宋体" w:eastAsia="宋体" w:cs="宋体"/>
          <w:color w:val="000000"/>
        </w:rPr>
        <w:t>TB</w:t>
      </w:r>
    </w:p>
    <w:p w14:paraId="632ED3BE">
      <w:pPr>
        <w:pStyle w:val="3"/>
        <w:spacing w:line="360" w:lineRule="auto"/>
        <w:ind w:firstLine="482" w:firstLineChars="200"/>
        <w:rPr>
          <w:rFonts w:hint="eastAsia"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color w:val="000000"/>
          <w:sz w:val="24"/>
          <w:szCs w:val="24"/>
          <w:lang w:val="en-US" w:eastAsia="zh-CN"/>
        </w:rPr>
        <w:t>售后服务</w:t>
      </w:r>
      <w:r>
        <w:rPr>
          <w:rFonts w:hint="eastAsia" w:ascii="宋体" w:hAnsi="宋体" w:eastAsia="宋体" w:cs="宋体"/>
          <w:color w:val="000000"/>
          <w:sz w:val="24"/>
          <w:szCs w:val="24"/>
        </w:rPr>
        <w:t>要求</w:t>
      </w:r>
    </w:p>
    <w:p w14:paraId="61FEE760">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（1）免费维护服务期：3年，服务期自系统搭建完成并投入使用之日起计算。</w:t>
      </w:r>
    </w:p>
    <w:p w14:paraId="6AE4D7DF">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（2）服务时间和响应：7×24小时全天候运维支持，并及时响应采购人在系统使用中提出的问题；</w:t>
      </w:r>
    </w:p>
    <w:p w14:paraId="18FFA3EB">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（3）运维服务主要内容：</w:t>
      </w:r>
    </w:p>
    <w:p w14:paraId="71956B6B">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系统监控：实时监控系统运行状态，及时发现和处理异常；</w:t>
      </w:r>
    </w:p>
    <w:p w14:paraId="5D6F72B5">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故障处理：紧急故障：应用系统因非计划的数据库原因或应用系统自身故障原因造成宕机。30分钟内到达现场，2小时内解决或提供解决方案。非紧急故障：24小时内解决，如果远程无法解决的问题，则到现场解决。</w:t>
      </w:r>
    </w:p>
    <w:p w14:paraId="1964BCD8">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性能优化：不少于每两年一次的系统性能分析和优化，提升系统效率；</w:t>
      </w:r>
    </w:p>
    <w:p w14:paraId="53918FDE">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安全维护：满足信息安全要求，提供系统安全保障。每个月进行一次数据库安全检查，出具检查报告，及时处置异常； </w:t>
      </w:r>
    </w:p>
    <w:p w14:paraId="1AAAE492">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数据备份：不少于每半年一次的备份数据库和关键数据，提供数据恢复支持；</w:t>
      </w:r>
    </w:p>
    <w:p w14:paraId="2754157F">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技术支持：提供技术咨询和问题解答、数据提取，协助采购人解决使用过程中遇到的问题；</w:t>
      </w:r>
    </w:p>
    <w:p w14:paraId="2FCC7F38">
      <w:pPr>
        <w:pStyle w:val="19"/>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运维文档：运维服务期间产生的文档及时提供给采购人，文档至少包括：巡检记录、需求更改记录、系统更新记录、数据库维护及优化记录、培训学习记录、报告总结等。</w:t>
      </w:r>
    </w:p>
    <w:p w14:paraId="167E070D">
      <w:pPr>
        <w:pStyle w:val="19"/>
        <w:spacing w:before="0" w:beforeAutospacing="0" w:after="0" w:afterAutospacing="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val="en-US" w:eastAsia="zh-CN"/>
        </w:rPr>
        <w:t>4</w:t>
      </w:r>
      <w:r>
        <w:rPr>
          <w:rFonts w:hint="eastAsia" w:ascii="宋体" w:hAnsi="宋体" w:eastAsia="宋体" w:cs="宋体"/>
          <w:color w:val="000000"/>
        </w:rPr>
        <w:t>）厂商需要提供至少</w:t>
      </w:r>
      <w:r>
        <w:rPr>
          <w:rFonts w:hint="eastAsia" w:ascii="宋体" w:hAnsi="宋体" w:eastAsia="宋体" w:cs="宋体"/>
        </w:rPr>
        <w:t>1名</w:t>
      </w:r>
      <w:r>
        <w:rPr>
          <w:rFonts w:hint="eastAsia" w:ascii="宋体" w:hAnsi="宋体" w:eastAsia="宋体" w:cs="宋体"/>
          <w:color w:val="000000"/>
        </w:rPr>
        <w:t>人员驻场，保证建设按要求落地。 </w:t>
      </w:r>
    </w:p>
    <w:p w14:paraId="5347206E">
      <w:pPr>
        <w:pStyle w:val="3"/>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四、系统对接服务要求</w:t>
      </w:r>
    </w:p>
    <w:p w14:paraId="6AB3F56C">
      <w:pPr>
        <w:spacing w:line="360" w:lineRule="auto"/>
        <w:ind w:firstLine="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支持对接我科无线多参数生命体征监护及台式监护仪设备；支持与医院的HIS、集成平台、电子签名、电子病历、全息视图、门诊检查预约等系统进行对接。所产生的全部费用应包含在本次项目整体报价内。</w:t>
      </w:r>
    </w:p>
    <w:p w14:paraId="26EAEE6C">
      <w:pPr>
        <w:pStyle w:val="3"/>
        <w:spacing w:line="360" w:lineRule="auto"/>
        <w:ind w:firstLine="482" w:firstLineChars="200"/>
        <w:rPr>
          <w:rFonts w:hint="eastAsia" w:ascii="宋体" w:hAnsi="宋体" w:eastAsia="宋体" w:cs="宋体"/>
          <w:color w:val="000000"/>
          <w:sz w:val="24"/>
          <w:szCs w:val="24"/>
          <w:lang w:val="en-US" w:eastAsia="zh-CN"/>
        </w:rPr>
      </w:pPr>
      <w:bookmarkStart w:id="0" w:name="_Hlk148434169"/>
      <w:r>
        <w:rPr>
          <w:rFonts w:hint="eastAsia" w:ascii="宋体" w:hAnsi="宋体" w:eastAsia="宋体" w:cs="宋体"/>
          <w:color w:val="000000"/>
          <w:sz w:val="24"/>
          <w:szCs w:val="24"/>
          <w:lang w:val="en-US" w:eastAsia="zh-CN"/>
        </w:rPr>
        <w:t>五、信息安全</w:t>
      </w:r>
    </w:p>
    <w:p w14:paraId="1EEC215E">
      <w:pPr>
        <w:pStyle w:val="3"/>
        <w:spacing w:line="360" w:lineRule="auto"/>
        <w:ind w:firstLine="480" w:firstLineChars="200"/>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（1）数据库、操作系统等漏洞补丁修复（现有版本如有漏洞，及时更新）；</w:t>
      </w:r>
    </w:p>
    <w:p w14:paraId="74A8C2AF">
      <w:pPr>
        <w:ind w:firstLine="480" w:firstLineChars="200"/>
        <w:rPr>
          <w:rFonts w:hint="default" w:ascii="宋体" w:hAnsi="宋体" w:eastAsia="宋体" w:cs="宋体"/>
          <w:b w:val="0"/>
          <w:bCs w:val="0"/>
          <w:color w:val="000000"/>
          <w:kern w:val="0"/>
          <w:sz w:val="24"/>
          <w:szCs w:val="24"/>
          <w:lang w:val="en-US" w:eastAsia="zh-CN" w:bidi="ar-SA"/>
        </w:rPr>
      </w:pPr>
      <w:r>
        <w:rPr>
          <w:rFonts w:hint="default" w:ascii="宋体" w:hAnsi="宋体" w:eastAsia="宋体" w:cs="宋体"/>
          <w:b w:val="0"/>
          <w:bCs w:val="0"/>
          <w:color w:val="000000"/>
          <w:kern w:val="0"/>
          <w:sz w:val="24"/>
          <w:szCs w:val="24"/>
          <w:lang w:val="en-US" w:eastAsia="zh-CN" w:bidi="ar-SA"/>
        </w:rPr>
        <w:t>（2）系统漏洞扫描，渗透测试问题修复（2小时内响应，48小时内修复完成）；收到安全隐患通知后，24小时内处置安全隐患。</w:t>
      </w:r>
    </w:p>
    <w:p w14:paraId="43024916">
      <w:pPr>
        <w:ind w:firstLine="480" w:firstLineChars="200"/>
        <w:rPr>
          <w:rFonts w:hint="default" w:ascii="宋体" w:hAnsi="宋体" w:eastAsia="宋体" w:cs="宋体"/>
          <w:b w:val="0"/>
          <w:bCs w:val="0"/>
          <w:color w:val="000000"/>
          <w:kern w:val="0"/>
          <w:sz w:val="24"/>
          <w:szCs w:val="24"/>
          <w:lang w:val="en-US" w:eastAsia="zh-CN" w:bidi="ar-SA"/>
        </w:rPr>
      </w:pPr>
      <w:r>
        <w:rPr>
          <w:rFonts w:hint="default" w:ascii="宋体" w:hAnsi="宋体" w:eastAsia="宋体" w:cs="宋体"/>
          <w:b w:val="0"/>
          <w:bCs w:val="0"/>
          <w:color w:val="000000"/>
          <w:kern w:val="0"/>
          <w:sz w:val="24"/>
          <w:szCs w:val="24"/>
          <w:lang w:val="en-US" w:eastAsia="zh-CN" w:bidi="ar-SA"/>
        </w:rPr>
        <w:t>（3）成立安全管理团队：建立「7×24小时安全值班组」（含开发/运维/安全三方联动），实施「1小时响应会议」机制（漏洞确认后立即启动跨部门会议）；</w:t>
      </w:r>
    </w:p>
    <w:p w14:paraId="0428AAEE">
      <w:pPr>
        <w:ind w:firstLine="480" w:firstLineChars="200"/>
        <w:rPr>
          <w:rFonts w:hint="default" w:ascii="宋体" w:hAnsi="宋体" w:eastAsia="宋体" w:cs="宋体"/>
          <w:b w:val="0"/>
          <w:bCs w:val="0"/>
          <w:color w:val="000000"/>
          <w:kern w:val="0"/>
          <w:sz w:val="24"/>
          <w:szCs w:val="24"/>
          <w:lang w:val="en-US" w:eastAsia="zh-CN" w:bidi="ar-SA"/>
        </w:rPr>
      </w:pPr>
      <w:r>
        <w:rPr>
          <w:rFonts w:hint="default" w:ascii="宋体" w:hAnsi="宋体" w:eastAsia="宋体" w:cs="宋体"/>
          <w:b w:val="0"/>
          <w:bCs w:val="0"/>
          <w:color w:val="000000"/>
          <w:kern w:val="0"/>
          <w:sz w:val="24"/>
          <w:szCs w:val="24"/>
          <w:lang w:val="en-US" w:eastAsia="zh-CN" w:bidi="ar-SA"/>
        </w:rPr>
        <w:t>（4）为保证系统数据稳定性及安全性，在系统上线前需通过甲方组织的安全评估，合格后方可正式上线运行。</w:t>
      </w:r>
    </w:p>
    <w:p w14:paraId="45A5BEF1">
      <w:pPr>
        <w:ind w:firstLine="480" w:firstLineChars="200"/>
        <w:rPr>
          <w:rFonts w:hint="default"/>
          <w:lang w:val="en-US" w:eastAsia="zh-CN"/>
        </w:rPr>
      </w:pPr>
      <w:r>
        <w:rPr>
          <w:rFonts w:hint="default" w:ascii="宋体" w:hAnsi="宋体" w:eastAsia="宋体" w:cs="宋体"/>
          <w:b w:val="0"/>
          <w:bCs w:val="0"/>
          <w:color w:val="000000"/>
          <w:kern w:val="0"/>
          <w:sz w:val="24"/>
          <w:szCs w:val="24"/>
          <w:lang w:val="en-US" w:eastAsia="zh-CN" w:bidi="ar-SA"/>
        </w:rPr>
        <w:t>（5）服务期内，按照《中华人民共和国网络安全法》、《中华人民共和国保密法》、《信息安全等级保护管理办法》等国家法律法规及相关政策的要求采取相应措施，接受甲方信息安全管理，协助甲方做好信息安全工作，及时处置安全风险。乙方须与甲方签订数据保密协议，须对其服务人员加强信息系统安全管理教育和培训，增强系统安全</w:t>
      </w:r>
      <w:r>
        <w:rPr>
          <w:rFonts w:hint="eastAsia" w:ascii="宋体" w:hAnsi="宋体" w:eastAsia="宋体" w:cs="宋体"/>
          <w:b w:val="0"/>
          <w:bCs w:val="0"/>
          <w:color w:val="000000"/>
          <w:kern w:val="0"/>
          <w:sz w:val="24"/>
          <w:szCs w:val="24"/>
          <w:lang w:val="en-US" w:eastAsia="zh-CN" w:bidi="ar-SA"/>
        </w:rPr>
        <w:t>防范</w:t>
      </w:r>
      <w:r>
        <w:rPr>
          <w:rFonts w:hint="default" w:ascii="宋体" w:hAnsi="宋体" w:eastAsia="宋体" w:cs="宋体"/>
          <w:b w:val="0"/>
          <w:bCs w:val="0"/>
          <w:color w:val="000000"/>
          <w:kern w:val="0"/>
          <w:sz w:val="24"/>
          <w:szCs w:val="24"/>
          <w:lang w:val="en-US" w:eastAsia="zh-CN" w:bidi="ar-SA"/>
        </w:rPr>
        <w:t>意识。</w:t>
      </w:r>
    </w:p>
    <w:bookmarkEnd w:id="0"/>
    <w:p w14:paraId="24C02C91">
      <w:pPr>
        <w:widowControl/>
        <w:spacing w:after="120" w:line="312" w:lineRule="auto"/>
        <w:ind w:firstLine="480" w:firstLineChars="200"/>
        <w:jc w:val="left"/>
        <w:rPr>
          <w:rFonts w:ascii="Calibri" w:hAnsi="Calibri" w:eastAsia="宋体" w:cs="Times New Roman"/>
          <w:smallCaps/>
          <w:kern w:val="2"/>
          <w:sz w:val="24"/>
          <w:szCs w:val="24"/>
          <w:lang w:val="en-US" w:eastAsia="zh-CN" w:bidi="ar-SA"/>
        </w:rPr>
      </w:pPr>
    </w:p>
    <w:tbl>
      <w:tblPr>
        <w:tblStyle w:val="1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1157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noWrap w:val="0"/>
            <w:vAlign w:val="center"/>
          </w:tcPr>
          <w:p w14:paraId="12B3C172">
            <w:pPr>
              <w:spacing w:after="156" w:afterLines="50"/>
              <w:jc w:val="center"/>
              <w:rPr>
                <w:rFonts w:ascii="Calibri" w:hAnsi="Calibri" w:eastAsia="宋体" w:cs="Times New Roman"/>
                <w:kern w:val="2"/>
                <w:sz w:val="24"/>
                <w:szCs w:val="24"/>
                <w:lang w:val="en-US" w:eastAsia="zh-CN" w:bidi="ar-SA"/>
              </w:rPr>
            </w:pPr>
            <w:r>
              <w:rPr>
                <w:rFonts w:hint="eastAsia" w:ascii="仿宋" w:hAnsi="仿宋" w:eastAsia="仿宋" w:cs="仿宋"/>
                <w:b/>
                <w:bCs/>
                <w:color w:val="000000"/>
                <w:kern w:val="2"/>
                <w:sz w:val="24"/>
                <w:szCs w:val="24"/>
                <w:lang w:val="en-US" w:eastAsia="zh-CN" w:bidi="ar"/>
              </w:rPr>
              <w:t>厂商基本信息表</w:t>
            </w:r>
          </w:p>
        </w:tc>
      </w:tr>
      <w:tr w14:paraId="04DC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26852B0F">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1FC68715">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p w14:paraId="7B821EEE">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1.全国情况：</w:t>
            </w:r>
          </w:p>
          <w:p w14:paraId="5694A640">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2.本公司情况：</w:t>
            </w:r>
          </w:p>
        </w:tc>
      </w:tr>
      <w:tr w14:paraId="43B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184517F9">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4BAA884F">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tc>
      </w:tr>
      <w:tr w14:paraId="7406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5E5F8321">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5AA27D8E">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tc>
      </w:tr>
      <w:tr w14:paraId="08E6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5E5BB62A">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30211A91">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大型企业（）中型企业（）小型企业（）微型企业（）监狱企业（）其他</w:t>
            </w:r>
            <w:r>
              <w:rPr>
                <w:rFonts w:ascii="Calibri" w:hAnsi="Calibri" w:eastAsia="宋体" w:cs="Times New Roman"/>
                <w:kern w:val="2"/>
                <w:sz w:val="24"/>
                <w:szCs w:val="24"/>
                <w:lang w:val="en-US" w:eastAsia="zh-CN" w:bidi="ar-SA"/>
              </w:rPr>
              <w:t>注：“是”打√</w:t>
            </w:r>
          </w:p>
        </w:tc>
      </w:tr>
    </w:tbl>
    <w:p w14:paraId="2150F540">
      <w:pPr>
        <w:spacing w:line="360" w:lineRule="auto"/>
        <w:jc w:val="right"/>
        <w:rPr>
          <w:rFonts w:ascii="仿宋_GB2312" w:hAnsi="仿宋_GB2312" w:eastAsia="仿宋_GB2312" w:cs="Times New Roman"/>
          <w:b/>
          <w:kern w:val="2"/>
          <w:sz w:val="24"/>
          <w:szCs w:val="24"/>
          <w:lang w:val="en-US" w:eastAsia="zh-CN" w:bidi="ar-SA"/>
        </w:rPr>
      </w:pPr>
    </w:p>
    <w:p w14:paraId="4D4C888F">
      <w:pPr>
        <w:spacing w:line="360" w:lineRule="auto"/>
        <w:jc w:val="right"/>
        <w:rPr>
          <w:rFonts w:ascii="仿宋_GB2312" w:hAnsi="仿宋_GB2312" w:eastAsia="仿宋_GB2312" w:cs="Times New Roman"/>
          <w:b/>
          <w:kern w:val="2"/>
          <w:sz w:val="24"/>
          <w:szCs w:val="24"/>
          <w:lang w:val="en-US" w:eastAsia="zh-CN" w:bidi="ar-SA"/>
        </w:rPr>
      </w:pPr>
      <w:r>
        <w:rPr>
          <w:rFonts w:hint="eastAsia" w:ascii="仿宋_GB2312" w:hAnsi="仿宋_GB2312" w:eastAsia="仿宋_GB2312" w:cs="Times New Roman"/>
          <w:b/>
          <w:kern w:val="2"/>
          <w:sz w:val="24"/>
          <w:szCs w:val="24"/>
          <w:lang w:val="en-US" w:eastAsia="zh-CN" w:bidi="ar-SA"/>
        </w:rPr>
        <w:t>厂家（商）：盖公章</w:t>
      </w:r>
    </w:p>
    <w:p w14:paraId="7651878A">
      <w:pPr>
        <w:spacing w:after="156" w:afterLines="50"/>
        <w:jc w:val="right"/>
        <w:rPr>
          <w:rFonts w:ascii="Calibri" w:hAnsi="Calibri" w:eastAsia="宋体" w:cs="Times New Roman"/>
          <w:kern w:val="2"/>
          <w:sz w:val="24"/>
          <w:szCs w:val="24"/>
          <w:lang w:val="en-US" w:eastAsia="zh-CN" w:bidi="ar-SA"/>
        </w:rPr>
      </w:pPr>
      <w:r>
        <w:rPr>
          <w:rFonts w:hint="eastAsia" w:ascii="仿宋_GB2312" w:hAnsi="仿宋_GB2312" w:eastAsia="仿宋_GB2312" w:cs="Times New Roman"/>
          <w:b/>
          <w:kern w:val="2"/>
          <w:sz w:val="28"/>
          <w:szCs w:val="24"/>
          <w:lang w:val="en-US" w:eastAsia="zh-CN" w:bidi="ar-SA"/>
        </w:rPr>
        <w:t>日期：   年   月   日</w:t>
      </w:r>
    </w:p>
    <w:p w14:paraId="37903ED2">
      <w:pPr>
        <w:rPr>
          <w:rFonts w:ascii="Calibri" w:hAnsi="Calibri" w:eastAsia="宋体" w:cs="Times New Roman"/>
          <w:kern w:val="2"/>
          <w:sz w:val="24"/>
          <w:szCs w:val="24"/>
          <w:lang w:val="en-US" w:eastAsia="zh-CN" w:bidi="ar-SA"/>
        </w:rPr>
      </w:pPr>
    </w:p>
    <w:p w14:paraId="715CCE0A">
      <w:pPr>
        <w:spacing w:after="156" w:afterLines="50"/>
        <w:rPr>
          <w:rFonts w:ascii="Calibri" w:hAnsi="Calibri" w:eastAsia="宋体" w:cs="Times New Roman"/>
          <w:kern w:val="2"/>
          <w:sz w:val="24"/>
          <w:szCs w:val="24"/>
          <w:lang w:val="en-US" w:eastAsia="zh-CN" w:bidi="ar-SA"/>
        </w:rPr>
      </w:pPr>
      <w:r>
        <w:rPr>
          <w:rFonts w:ascii="Calibri" w:hAnsi="Calibri" w:eastAsia="宋体" w:cs="Times New Roman"/>
          <w:kern w:val="2"/>
          <w:sz w:val="24"/>
          <w:szCs w:val="24"/>
          <w:lang w:val="en-US" w:eastAsia="zh-CN" w:bidi="ar-SA"/>
        </w:rPr>
        <w:br w:type="page"/>
      </w:r>
    </w:p>
    <w:p w14:paraId="04A01B4E">
      <w:pPr>
        <w:jc w:val="center"/>
        <w:rPr>
          <w:rFonts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成都市第二人民医院</w:t>
      </w:r>
    </w:p>
    <w:p w14:paraId="79FC2693">
      <w:pPr>
        <w:jc w:val="center"/>
        <w:rPr>
          <w:rFonts w:ascii="方正小标宋简体" w:hAnsi="方正小标宋简体" w:eastAsia="方正小标宋简体" w:cs="Times New Roman"/>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门诊手术室外麻醉管理系统采购项目报价表</w:t>
      </w:r>
    </w:p>
    <w:p w14:paraId="7A783A66">
      <w:pPr>
        <w:rPr>
          <w:rFonts w:ascii="Calibri" w:hAnsi="Calibri" w:eastAsia="宋体" w:cs="Times New Roman"/>
          <w:kern w:val="2"/>
          <w:sz w:val="24"/>
          <w:szCs w:val="24"/>
          <w:lang w:val="en-US" w:eastAsia="zh-CN" w:bidi="ar-SA"/>
        </w:rPr>
      </w:pPr>
    </w:p>
    <w:tbl>
      <w:tblPr>
        <w:tblStyle w:val="13"/>
        <w:tblW w:w="9474" w:type="dxa"/>
        <w:jc w:val="center"/>
        <w:tblLayout w:type="fixed"/>
        <w:tblCellMar>
          <w:top w:w="0" w:type="dxa"/>
          <w:left w:w="0" w:type="dxa"/>
          <w:bottom w:w="0" w:type="dxa"/>
          <w:right w:w="0" w:type="dxa"/>
        </w:tblCellMar>
      </w:tblPr>
      <w:tblGrid>
        <w:gridCol w:w="1413"/>
        <w:gridCol w:w="2561"/>
        <w:gridCol w:w="2760"/>
        <w:gridCol w:w="1888"/>
        <w:gridCol w:w="852"/>
      </w:tblGrid>
      <w:tr w14:paraId="644F9309">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D9BC61">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CB5631F">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内容</w:t>
            </w:r>
          </w:p>
        </w:tc>
        <w:tc>
          <w:tcPr>
            <w:tcW w:w="276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9CEA37">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用途</w:t>
            </w:r>
          </w:p>
        </w:tc>
        <w:tc>
          <w:tcPr>
            <w:tcW w:w="188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AED76A">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报价</w:t>
            </w:r>
          </w:p>
        </w:tc>
        <w:tc>
          <w:tcPr>
            <w:tcW w:w="8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A58828">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备注</w:t>
            </w:r>
          </w:p>
        </w:tc>
      </w:tr>
      <w:tr w14:paraId="62DABFEF">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D56898">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门诊手术室外麻醉管理系统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86A47C">
            <w:pP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详见建设需求。</w:t>
            </w:r>
          </w:p>
        </w:tc>
        <w:tc>
          <w:tcPr>
            <w:tcW w:w="2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4E1120">
            <w:pP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满足医院门诊手术室麻醉管理信息化需求。</w:t>
            </w:r>
          </w:p>
        </w:tc>
        <w:tc>
          <w:tcPr>
            <w:tcW w:w="18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78D62D">
            <w:pPr>
              <w:rPr>
                <w:rFonts w:ascii="Calibri" w:hAnsi="Calibri" w:eastAsia="宋体"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BA8181">
            <w:pPr>
              <w:rPr>
                <w:rFonts w:ascii="Calibri" w:hAnsi="Calibri" w:eastAsia="宋体" w:cs="Times New Roman"/>
                <w:kern w:val="2"/>
                <w:sz w:val="24"/>
                <w:szCs w:val="24"/>
                <w:lang w:val="en-US" w:eastAsia="zh-CN" w:bidi="ar-SA"/>
              </w:rPr>
            </w:pPr>
          </w:p>
        </w:tc>
      </w:tr>
    </w:tbl>
    <w:p w14:paraId="6BBF8041">
      <w:pPr>
        <w:ind w:left="619" w:leftChars="295"/>
        <w:rPr>
          <w:rFonts w:ascii="Calibri" w:hAnsi="Calibri" w:eastAsia="宋体" w:cs="Times New Roman"/>
          <w:kern w:val="2"/>
          <w:sz w:val="24"/>
          <w:szCs w:val="24"/>
          <w:lang w:val="en-US" w:eastAsia="zh-CN" w:bidi="ar-SA"/>
        </w:rPr>
      </w:pPr>
    </w:p>
    <w:p w14:paraId="0B79150E">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报价公司：</w:t>
      </w:r>
    </w:p>
    <w:p w14:paraId="57AAFFCC">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联系方式：</w:t>
      </w:r>
    </w:p>
    <w:p w14:paraId="07C7C5E6">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是否对需求内容完全响应：</w:t>
      </w:r>
    </w:p>
    <w:p w14:paraId="2851B67D">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日期：</w:t>
      </w:r>
    </w:p>
    <w:p w14:paraId="7244D1F3">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p>
    <w:p w14:paraId="3E348067">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p>
    <w:p w14:paraId="0543E652">
      <w:pPr>
        <w:rPr>
          <w:rFonts w:ascii="Calibri" w:hAnsi="Calibri" w:eastAsia="宋体" w:cs="Times New Roman"/>
          <w:kern w:val="2"/>
          <w:sz w:val="24"/>
          <w:szCs w:val="24"/>
          <w:lang w:val="en-US" w:eastAsia="zh-CN" w:bidi="ar-SA"/>
        </w:rPr>
      </w:pPr>
    </w:p>
    <w:p w14:paraId="5992DC61">
      <w:pPr>
        <w:rPr>
          <w:rFonts w:ascii="Calibri" w:hAnsi="Calibri" w:eastAsia="宋体" w:cs="Times New Roman"/>
          <w:kern w:val="2"/>
          <w:sz w:val="24"/>
          <w:szCs w:val="24"/>
          <w:lang w:val="en-US" w:eastAsia="zh-CN" w:bidi="ar-SA"/>
        </w:rPr>
      </w:pPr>
      <w:r>
        <w:rPr>
          <w:rFonts w:ascii="Calibri" w:hAnsi="Calibri" w:eastAsia="宋体" w:cs="Times New Roman"/>
          <w:kern w:val="2"/>
          <w:sz w:val="24"/>
          <w:szCs w:val="24"/>
          <w:lang w:val="en-US" w:eastAsia="zh-CN" w:bidi="ar-SA"/>
        </w:rPr>
        <w:br w:type="page"/>
      </w:r>
    </w:p>
    <w:p w14:paraId="0134FBAC">
      <w:pPr>
        <w:jc w:val="center"/>
        <w:rPr>
          <w:rFonts w:ascii="方正小标宋简体" w:hAnsi="方正小标宋简体" w:eastAsia="方正小标宋简体" w:cs="Times New Roman"/>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成都市第二人民医院门诊手术室外麻醉管理系统采购项目建设方案</w:t>
      </w:r>
    </w:p>
    <w:p w14:paraId="0B5021E3">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（模板）</w:t>
      </w:r>
    </w:p>
    <w:p w14:paraId="7D4F9841">
      <w:pPr>
        <w:rPr>
          <w:rFonts w:ascii="Calibri" w:hAnsi="Calibri" w:eastAsia="宋体" w:cs="Times New Roman"/>
          <w:kern w:val="2"/>
          <w:sz w:val="24"/>
          <w:szCs w:val="24"/>
          <w:lang w:val="en-US" w:eastAsia="zh-CN" w:bidi="ar-SA"/>
        </w:rPr>
      </w:pPr>
    </w:p>
    <w:p w14:paraId="0F00D910">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需求xxx</w:t>
      </w:r>
    </w:p>
    <w:p w14:paraId="41A92088">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1．需求xxx</w:t>
      </w:r>
    </w:p>
    <w:p w14:paraId="600B1331">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7BBD0F23">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794C64A1">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2.需求xxx</w:t>
      </w:r>
    </w:p>
    <w:p w14:paraId="1F5A94D0">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164B61DD">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7DF1E086">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3.需求xxx</w:t>
      </w:r>
    </w:p>
    <w:p w14:paraId="1809E71C">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35059450">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20D25BD9">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ascii="仿宋" w:hAnsi="仿宋" w:eastAsia="仿宋" w:cs="Times New Roman"/>
          <w:kern w:val="0"/>
          <w:sz w:val="28"/>
          <w:szCs w:val="28"/>
          <w:lang w:val="en-US" w:eastAsia="zh-CN" w:bidi="ar-SA"/>
        </w:rPr>
        <w:t>二、其它</w:t>
      </w:r>
    </w:p>
    <w:p w14:paraId="5012424D">
      <w:pPr>
        <w:numPr>
          <w:ilvl w:val="0"/>
          <w:numId w:val="0"/>
        </w:numPr>
        <w:ind w:firstLine="420" w:firstLineChars="200"/>
        <w:jc w:val="left"/>
        <w:rPr>
          <w:rFonts w:hint="default" w:ascii="宋体" w:hAnsi="宋体" w:eastAsia="宋体" w:cs="宋体"/>
          <w:color w:val="auto"/>
          <w:kern w:val="2"/>
          <w:sz w:val="21"/>
          <w:szCs w:val="21"/>
          <w:highlight w:val="none"/>
          <w:lang w:val="en-US" w:eastAsia="zh-CN" w:bidi="ar-SA"/>
        </w:rPr>
      </w:pPr>
    </w:p>
    <w:p w14:paraId="04E8589C">
      <w:pPr>
        <w:widowControl w:val="0"/>
        <w:jc w:val="both"/>
        <w:rPr>
          <w:rFonts w:ascii="Times New Roman" w:hAnsi="Times New Roman" w:eastAsia="宋体" w:cs="Times New Roman"/>
          <w:color w:val="993300"/>
          <w:sz w:val="24"/>
          <w:szCs w:val="22"/>
        </w:rPr>
      </w:pPr>
    </w:p>
    <w:p w14:paraId="32F4752E">
      <w:pPr>
        <w:spacing w:line="360" w:lineRule="auto"/>
        <w:rPr>
          <w:rFonts w:hint="eastAsia" w:ascii="宋体" w:hAnsi="宋体" w:eastAsia="宋体" w:cs="宋体"/>
          <w:color w:val="000000"/>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4B7C01-6F62-49EF-9833-629275BF8CCC}"/>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CBB87A92-47BF-40AC-BB20-080C5F9FF319}"/>
  </w:font>
  <w:font w:name="华文仿宋">
    <w:panose1 w:val="02010600040101010101"/>
    <w:charset w:val="86"/>
    <w:family w:val="auto"/>
    <w:pitch w:val="default"/>
    <w:sig w:usb0="00000287" w:usb1="080F0000" w:usb2="00000000" w:usb3="00000000" w:csb0="0004009F" w:csb1="DFD70000"/>
    <w:embedRegular r:id="rId3" w:fontKey="{B3C917A7-3ECF-42B6-B411-F35A85F2DF7A}"/>
  </w:font>
  <w:font w:name="方正楷体_GBK">
    <w:panose1 w:val="03000509000000000000"/>
    <w:charset w:val="86"/>
    <w:family w:val="auto"/>
    <w:pitch w:val="default"/>
    <w:sig w:usb0="00000001" w:usb1="080E0000" w:usb2="00000000" w:usb3="00000000" w:csb0="00040000" w:csb1="00000000"/>
    <w:embedRegular r:id="rId4" w:fontKey="{0E01C305-C629-49C6-A629-984CFEAFA16F}"/>
  </w:font>
  <w:font w:name="PingFang SC">
    <w:altName w:val="宋体"/>
    <w:panose1 w:val="00000000000000000000"/>
    <w:charset w:val="86"/>
    <w:family w:val="swiss"/>
    <w:pitch w:val="default"/>
    <w:sig w:usb0="00000000" w:usb1="00000000" w:usb2="00000017" w:usb3="00000000" w:csb0="00040001" w:csb1="00000000"/>
    <w:embedRegular r:id="rId5" w:fontKey="{E72A85C5-AFF1-45D7-BC5D-54224F0175DA}"/>
  </w:font>
  <w:font w:name="仿宋">
    <w:panose1 w:val="02010609060101010101"/>
    <w:charset w:val="86"/>
    <w:family w:val="auto"/>
    <w:pitch w:val="default"/>
    <w:sig w:usb0="800002BF" w:usb1="38CF7CFA" w:usb2="00000016" w:usb3="00000000" w:csb0="00040001" w:csb1="00000000"/>
    <w:embedRegular r:id="rId6" w:fontKey="{F43B5C32-13C0-481C-B936-7AF47C43CF10}"/>
  </w:font>
  <w:font w:name="仿宋_GB2312">
    <w:altName w:val="仿宋"/>
    <w:panose1 w:val="00000000000000000000"/>
    <w:charset w:val="86"/>
    <w:family w:val="auto"/>
    <w:pitch w:val="default"/>
    <w:sig w:usb0="00000000" w:usb1="00000000" w:usb2="00000000" w:usb3="00000000" w:csb0="00040000" w:csb1="00000000"/>
    <w:embedRegular r:id="rId7" w:fontKey="{D18E0E83-90E6-40FE-8F17-6A6BB997A5FA}"/>
  </w:font>
  <w:font w:name="方正小标宋简体">
    <w:panose1 w:val="02000000000000000000"/>
    <w:charset w:val="86"/>
    <w:family w:val="auto"/>
    <w:pitch w:val="default"/>
    <w:sig w:usb0="00000001" w:usb1="08000000" w:usb2="00000000" w:usb3="00000000" w:csb0="00040000" w:csb1="00000000"/>
    <w:embedRegular r:id="rId8" w:fontKey="{3737C7C3-C408-413B-9ABA-85ED8632AABE}"/>
  </w:font>
  <w:font w:name="KSOFE4500885">
    <w:panose1 w:val="02010609060101010101"/>
    <w:charset w:val="86"/>
    <w:family w:val="auto"/>
    <w:pitch w:val="default"/>
    <w:sig w:usb0="00000001"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9EF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4A81B">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74A81B">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0A216"/>
    <w:multiLevelType w:val="singleLevel"/>
    <w:tmpl w:val="FE20A216"/>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4F7D41"/>
    <w:rsid w:val="000D1D27"/>
    <w:rsid w:val="000E7479"/>
    <w:rsid w:val="00101CEC"/>
    <w:rsid w:val="001212DC"/>
    <w:rsid w:val="001E7106"/>
    <w:rsid w:val="002033AB"/>
    <w:rsid w:val="002505FA"/>
    <w:rsid w:val="0025315D"/>
    <w:rsid w:val="002616F4"/>
    <w:rsid w:val="00332508"/>
    <w:rsid w:val="00361DF5"/>
    <w:rsid w:val="00377EB3"/>
    <w:rsid w:val="003E3A62"/>
    <w:rsid w:val="00437F3C"/>
    <w:rsid w:val="004716C4"/>
    <w:rsid w:val="00484014"/>
    <w:rsid w:val="004959EC"/>
    <w:rsid w:val="004D6118"/>
    <w:rsid w:val="004E029A"/>
    <w:rsid w:val="004E79B7"/>
    <w:rsid w:val="00562C6E"/>
    <w:rsid w:val="00567D8A"/>
    <w:rsid w:val="00570305"/>
    <w:rsid w:val="00640FFD"/>
    <w:rsid w:val="00646ECC"/>
    <w:rsid w:val="006F1636"/>
    <w:rsid w:val="006F7634"/>
    <w:rsid w:val="0075393D"/>
    <w:rsid w:val="00775821"/>
    <w:rsid w:val="007A0A41"/>
    <w:rsid w:val="007B6100"/>
    <w:rsid w:val="007F1741"/>
    <w:rsid w:val="008440CD"/>
    <w:rsid w:val="00852475"/>
    <w:rsid w:val="008D1C0C"/>
    <w:rsid w:val="008E02B1"/>
    <w:rsid w:val="008F1DC1"/>
    <w:rsid w:val="00900515"/>
    <w:rsid w:val="009246EC"/>
    <w:rsid w:val="00962A53"/>
    <w:rsid w:val="00993614"/>
    <w:rsid w:val="009E2A11"/>
    <w:rsid w:val="00A01E38"/>
    <w:rsid w:val="00A233C5"/>
    <w:rsid w:val="00BE442B"/>
    <w:rsid w:val="00BF7774"/>
    <w:rsid w:val="00C0063A"/>
    <w:rsid w:val="00C248C0"/>
    <w:rsid w:val="00D44D15"/>
    <w:rsid w:val="00D46BF2"/>
    <w:rsid w:val="00DC1E0C"/>
    <w:rsid w:val="00E3205C"/>
    <w:rsid w:val="00E81249"/>
    <w:rsid w:val="00EA5815"/>
    <w:rsid w:val="00EC4938"/>
    <w:rsid w:val="00FC1DD7"/>
    <w:rsid w:val="00FC3DED"/>
    <w:rsid w:val="00FD2307"/>
    <w:rsid w:val="0165325A"/>
    <w:rsid w:val="0E09464F"/>
    <w:rsid w:val="0E403DF0"/>
    <w:rsid w:val="14B54FB3"/>
    <w:rsid w:val="158702AB"/>
    <w:rsid w:val="1BE74AE9"/>
    <w:rsid w:val="23AE1199"/>
    <w:rsid w:val="26336723"/>
    <w:rsid w:val="2AAD28A0"/>
    <w:rsid w:val="2B316687"/>
    <w:rsid w:val="359F165A"/>
    <w:rsid w:val="3A416385"/>
    <w:rsid w:val="3C0F0526"/>
    <w:rsid w:val="3D7A7FC6"/>
    <w:rsid w:val="3E1F46CA"/>
    <w:rsid w:val="409F41D0"/>
    <w:rsid w:val="423B13C4"/>
    <w:rsid w:val="4C2C7C0F"/>
    <w:rsid w:val="51461F74"/>
    <w:rsid w:val="54C70A51"/>
    <w:rsid w:val="571406EC"/>
    <w:rsid w:val="59ED5D2E"/>
    <w:rsid w:val="5B5906D8"/>
    <w:rsid w:val="5CC140A1"/>
    <w:rsid w:val="5DED0C7E"/>
    <w:rsid w:val="5ED75EB6"/>
    <w:rsid w:val="607E55AF"/>
    <w:rsid w:val="66DC0AFB"/>
    <w:rsid w:val="6C1738FC"/>
    <w:rsid w:val="6C924135"/>
    <w:rsid w:val="6E255143"/>
    <w:rsid w:val="724F7D41"/>
    <w:rsid w:val="72EF7CA5"/>
    <w:rsid w:val="76E52970"/>
    <w:rsid w:val="79444A09"/>
    <w:rsid w:val="7ADA685F"/>
    <w:rsid w:val="7B84261D"/>
    <w:rsid w:val="B97DD42C"/>
    <w:rsid w:val="EBF3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bidi="ar-SA"/>
    </w:rPr>
  </w:style>
  <w:style w:type="paragraph" w:styleId="5">
    <w:name w:val="heading 4"/>
    <w:next w:val="1"/>
    <w:semiHidden/>
    <w:unhideWhenUsed/>
    <w:qFormat/>
    <w:uiPriority w:val="0"/>
    <w:pPr>
      <w:spacing w:beforeAutospacing="1" w:afterAutospacing="1"/>
      <w:outlineLvl w:val="3"/>
    </w:pPr>
    <w:rPr>
      <w:rFonts w:hint="eastAsia" w:ascii="宋体" w:hAnsi="宋体" w:eastAsia="宋体" w:cs="Times New Roman"/>
      <w:b/>
      <w:bCs/>
      <w:sz w:val="24"/>
      <w:szCs w:val="24"/>
      <w:lang w:val="en-US" w:eastAsia="zh-CN" w:bidi="ar-SA"/>
    </w:rPr>
  </w:style>
  <w:style w:type="paragraph" w:styleId="6">
    <w:name w:val="heading 5"/>
    <w:next w:val="1"/>
    <w:semiHidden/>
    <w:unhideWhenUsed/>
    <w:qFormat/>
    <w:uiPriority w:val="0"/>
    <w:pPr>
      <w:spacing w:beforeAutospacing="1" w:afterAutospacing="1"/>
      <w:outlineLvl w:val="4"/>
    </w:pPr>
    <w:rPr>
      <w:rFonts w:hint="eastAsia" w:ascii="宋体" w:hAnsi="宋体" w:eastAsia="宋体" w:cs="Times New Roman"/>
      <w:b/>
      <w:bCs/>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rPr>
      <w:color w:val="993300"/>
      <w:sz w:val="24"/>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link w:val="20"/>
    <w:qFormat/>
    <w:uiPriority w:val="0"/>
    <w:pPr>
      <w:spacing w:beforeAutospacing="1" w:afterAutospacing="1"/>
      <w:jc w:val="left"/>
    </w:pPr>
    <w:rPr>
      <w:rFonts w:cs="Times New Roman"/>
      <w:kern w:val="0"/>
      <w:sz w:val="24"/>
      <w:szCs w:val="24"/>
    </w:r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列表段落1"/>
    <w:basedOn w:val="1"/>
    <w:qFormat/>
    <w:uiPriority w:val="34"/>
    <w:pPr>
      <w:ind w:firstLine="420" w:firstLineChars="200"/>
    </w:p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20">
    <w:name w:val="普通(网站) 字符"/>
    <w:link w:val="12"/>
    <w:qFormat/>
    <w:uiPriority w:val="0"/>
    <w:rPr>
      <w:rFonts w:cs="Times New Roman"/>
      <w:kern w:val="0"/>
      <w:sz w:val="24"/>
      <w:szCs w:val="24"/>
    </w:rPr>
  </w:style>
  <w:style w:type="character" w:customStyle="1" w:styleId="21">
    <w:name w:val="批注框文本 字符"/>
    <w:basedOn w:val="14"/>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14A4F-1CF5-44EC-AF6F-2F849A96944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5353</Words>
  <Characters>5463</Characters>
  <Lines>204</Lines>
  <Paragraphs>145</Paragraphs>
  <TotalTime>0</TotalTime>
  <ScaleCrop>false</ScaleCrop>
  <LinksUpToDate>false</LinksUpToDate>
  <CharactersWithSpaces>5475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2025-02-07T08:19:00Z</dcterms:created>
  <dc:creator> </dc:creator>
  <cp:lastModifiedBy>陈柯岚</cp:lastModifiedBy>
  <dcterms:modified xsi:type="dcterms:W3CDTF">2026-03-31T00:35:51Z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2EFDF1FAB3A44FB4BAF1DEB00402012A_13</vt:lpwstr>
  </property>
  <property fmtid="{D5CDD505-2E9C-101B-9397-08002B2CF9AE}" pid="4" name="KSOTemplateDocerSaveRecord">
    <vt:lpwstr>eyJoZGlkIjoiNzFlMjMwZGJkMDk0NjRmNTA4MmJkNjU5M2Y3ZjRhZmEiLCJ1c2VySWQiOiIxMDEwNTk2NjIzIn0=</vt:lpwstr>
  </property>
</Properties>
</file>