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C9BBD">
      <w:pPr>
        <w:pStyle w:val="2"/>
        <w:spacing w:before="60" w:after="60" w:line="640" w:lineRule="exact"/>
        <w:jc w:val="center"/>
        <w:rPr>
          <w:rFonts w:ascii="方正小标宋_GBK" w:hAnsi="方正小标宋_GBK" w:eastAsia="方正小标宋_GBK" w:cs="方正小标宋_GBK"/>
          <w:b w:val="0"/>
          <w:bCs w:val="0"/>
          <w:kern w:val="36"/>
        </w:rPr>
      </w:pPr>
      <w:r>
        <w:rPr>
          <w:rFonts w:hint="eastAsia" w:ascii="方正小标宋_GBK" w:hAnsi="方正小标宋_GBK" w:eastAsia="方正小标宋_GBK" w:cs="方正小标宋_GBK"/>
          <w:b w:val="0"/>
          <w:bCs w:val="0"/>
          <w:color w:val="333333"/>
        </w:rPr>
        <w:t>人力资源信息系统建设需求</w:t>
      </w:r>
    </w:p>
    <w:p w14:paraId="22122D19">
      <w:pPr>
        <w:pStyle w:val="20"/>
        <w:spacing w:before="0" w:beforeAutospacing="0" w:after="0" w:afterAutospacing="0"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b/>
          <w:bCs/>
          <w:color w:val="000000"/>
          <w:sz w:val="32"/>
          <w:szCs w:val="32"/>
        </w:rPr>
        <w:t> </w:t>
      </w:r>
    </w:p>
    <w:p w14:paraId="2499C43A">
      <w:pPr>
        <w:pStyle w:val="20"/>
        <w:spacing w:before="0" w:beforeAutospacing="0" w:after="0" w:afterAutospacing="0" w:line="560" w:lineRule="exact"/>
        <w:ind w:firstLine="640" w:firstLineChars="200"/>
        <w:jc w:val="both"/>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本项目实施需要搭建符合医院实际情况的人力资源信息系统，包含组织管理、岗位管理、员工管理、招聘管理、考勤管理、合同管理、薪资管理、职称聘任管理、考核管理、出国（境）管理、医德医风管理、个人专业技术档案管理、科研成果管理、自助服务、移动性需求、报表管理。所产生的全部费用应包含在本次项目整体报价内。</w:t>
      </w:r>
    </w:p>
    <w:p w14:paraId="66306C2E">
      <w:pPr>
        <w:pStyle w:val="20"/>
        <w:spacing w:before="0" w:beforeAutospacing="0" w:after="0" w:afterAutospacing="0" w:line="560" w:lineRule="exact"/>
        <w:jc w:val="both"/>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b/>
          <w:bCs/>
          <w:color w:val="000000"/>
          <w:sz w:val="32"/>
          <w:szCs w:val="32"/>
        </w:rPr>
        <w:t>系统安全：</w:t>
      </w:r>
      <w:r>
        <w:rPr>
          <w:rFonts w:hint="eastAsia" w:ascii="方正仿宋_GBK" w:hAnsi="方正仿宋_GBK" w:eastAsia="方正仿宋_GBK" w:cs="方正仿宋_GBK"/>
          <w:color w:val="000000"/>
          <w:sz w:val="32"/>
          <w:szCs w:val="32"/>
        </w:rPr>
        <w:t>为保证系统数据稳定性及安全性，在系统上线前需通过医院组织的安全评估，合格后方可正式上线运行。满足网络安全等级保护制度2.0 三级要求。</w:t>
      </w:r>
    </w:p>
    <w:p w14:paraId="16CA5F2C">
      <w:pPr>
        <w:pStyle w:val="20"/>
        <w:numPr>
          <w:ilvl w:val="0"/>
          <w:numId w:val="1"/>
        </w:numPr>
        <w:spacing w:before="0" w:beforeAutospacing="0" w:after="0" w:afterAutospacing="0" w:line="560" w:lineRule="exact"/>
        <w:ind w:firstLine="643" w:firstLineChars="200"/>
        <w:jc w:val="both"/>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sz w:val="32"/>
          <w:szCs w:val="32"/>
        </w:rPr>
        <w:t>软件功能参数要求</w:t>
      </w:r>
      <w:r>
        <w:rPr>
          <w:rFonts w:hint="eastAsia" w:ascii="方正仿宋_GBK" w:hAnsi="方正仿宋_GBK" w:eastAsia="方正仿宋_GBK" w:cs="方正仿宋_GBK"/>
          <w:color w:val="000000"/>
          <w:sz w:val="32"/>
          <w:szCs w:val="32"/>
        </w:rPr>
        <w:t xml:space="preserve"> </w:t>
      </w:r>
    </w:p>
    <w:p w14:paraId="6AEC42F3">
      <w:pPr>
        <w:pStyle w:val="21"/>
        <w:adjustRightInd w:val="0"/>
        <w:snapToGrid w:val="0"/>
        <w:spacing w:line="560" w:lineRule="exact"/>
        <w:ind w:firstLine="640" w:firstLineChars="200"/>
        <w:rPr>
          <w:rFonts w:hint="default" w:ascii="方正仿宋_GBK" w:hAnsi="方正仿宋_GBK" w:eastAsia="方正仿宋_GBK" w:cs="方正仿宋_GBK"/>
          <w:color w:val="000000"/>
          <w:sz w:val="32"/>
          <w:szCs w:val="32"/>
          <w:lang w:eastAsia="zh-CN"/>
        </w:rPr>
      </w:pPr>
      <w:r>
        <w:rPr>
          <w:rFonts w:ascii="方正仿宋_GBK" w:hAnsi="方正仿宋_GBK" w:eastAsia="方正仿宋_GBK" w:cs="方正仿宋_GBK"/>
          <w:color w:val="000000"/>
          <w:sz w:val="32"/>
          <w:szCs w:val="32"/>
          <w:lang w:eastAsia="zh-CN"/>
        </w:rPr>
        <w:t>要求本次招标建设的软件产品符合卫生、财政、医保、药监等政府主管部门的政策法规等管理要求，满足智慧医院整体建设规划的需求。具体技术要求如下：</w:t>
      </w:r>
    </w:p>
    <w:p w14:paraId="24F48FB2">
      <w:pPr>
        <w:pStyle w:val="21"/>
        <w:adjustRightInd w:val="0"/>
        <w:snapToGrid w:val="0"/>
        <w:spacing w:line="560" w:lineRule="exact"/>
        <w:ind w:firstLine="640" w:firstLineChars="200"/>
        <w:rPr>
          <w:rFonts w:hint="default" w:ascii="方正仿宋_GBK" w:hAnsi="方正仿宋_GBK" w:eastAsia="方正仿宋_GBK" w:cs="方正仿宋_GBK"/>
          <w:color w:val="000000"/>
          <w:sz w:val="32"/>
          <w:szCs w:val="32"/>
          <w:lang w:eastAsia="zh-CN"/>
        </w:rPr>
      </w:pPr>
      <w:r>
        <w:rPr>
          <w:rFonts w:ascii="方正仿宋_GBK" w:hAnsi="方正仿宋_GBK" w:eastAsia="方正仿宋_GBK" w:cs="方正仿宋_GBK"/>
          <w:color w:val="000000"/>
          <w:sz w:val="32"/>
          <w:szCs w:val="32"/>
          <w:lang w:eastAsia="zh-CN"/>
        </w:rPr>
        <w:t xml:space="preserve">（一）供应商提供的已有的应用软件模块必须是成熟、先进的商业化软件产品，在国内同级医院有成功应用的先例。要求系统能够适应医院在未来业务发展和变化的需要，能够根据医院业务需要进行功能升级扩充。 </w:t>
      </w:r>
    </w:p>
    <w:p w14:paraId="7D9A06DA">
      <w:pPr>
        <w:pStyle w:val="21"/>
        <w:adjustRightInd w:val="0"/>
        <w:snapToGrid w:val="0"/>
        <w:spacing w:line="560" w:lineRule="exact"/>
        <w:ind w:firstLine="640" w:firstLineChars="200"/>
        <w:rPr>
          <w:rFonts w:hint="default" w:ascii="方正仿宋_GBK" w:hAnsi="方正仿宋_GBK" w:eastAsia="方正仿宋_GBK" w:cs="方正仿宋_GBK"/>
          <w:color w:val="000000"/>
          <w:sz w:val="32"/>
          <w:szCs w:val="32"/>
          <w:lang w:eastAsia="zh-CN"/>
        </w:rPr>
      </w:pPr>
      <w:r>
        <w:rPr>
          <w:rFonts w:ascii="方正仿宋_GBK" w:hAnsi="方正仿宋_GBK" w:eastAsia="方正仿宋_GBK" w:cs="方正仿宋_GBK"/>
          <w:color w:val="000000"/>
          <w:sz w:val="32"/>
          <w:szCs w:val="32"/>
          <w:lang w:eastAsia="zh-CN"/>
        </w:rPr>
        <w:t>（二）投标人根据采购要求提供完整的医院智慧运营管理平台建设方案，且智慧运营管理平台所属的各个功能模块实现无缝整合应用。</w:t>
      </w:r>
    </w:p>
    <w:p w14:paraId="5E16D199">
      <w:pPr>
        <w:pStyle w:val="21"/>
        <w:adjustRightInd w:val="0"/>
        <w:snapToGrid w:val="0"/>
        <w:spacing w:line="560" w:lineRule="exact"/>
        <w:ind w:firstLine="640" w:firstLineChars="200"/>
        <w:rPr>
          <w:rFonts w:hint="default" w:ascii="方正仿宋_GBK" w:hAnsi="方正仿宋_GBK" w:eastAsia="方正仿宋_GBK" w:cs="方正仿宋_GBK"/>
          <w:color w:val="000000"/>
          <w:sz w:val="32"/>
          <w:szCs w:val="32"/>
          <w:lang w:eastAsia="zh-CN"/>
        </w:rPr>
      </w:pPr>
      <w:r>
        <w:rPr>
          <w:rFonts w:ascii="方正仿宋_GBK" w:hAnsi="方正仿宋_GBK" w:eastAsia="方正仿宋_GBK" w:cs="方正仿宋_GBK"/>
          <w:color w:val="000000"/>
          <w:sz w:val="32"/>
          <w:szCs w:val="32"/>
          <w:lang w:eastAsia="zh-CN"/>
        </w:rPr>
        <w:t>（三）支持≥1000人使用，能经受大流量并发的耐量测定。并可升级授权，无需重新部署系统。支持单点登录模式。</w:t>
      </w:r>
    </w:p>
    <w:p w14:paraId="77FF6524">
      <w:pPr>
        <w:pStyle w:val="21"/>
        <w:adjustRightInd w:val="0"/>
        <w:snapToGrid w:val="0"/>
        <w:spacing w:line="560" w:lineRule="exact"/>
        <w:ind w:firstLine="640" w:firstLineChars="200"/>
        <w:rPr>
          <w:rFonts w:hint="default" w:ascii="方正仿宋_GBK" w:hAnsi="方正仿宋_GBK" w:eastAsia="方正仿宋_GBK" w:cs="方正仿宋_GBK"/>
          <w:color w:val="000000"/>
          <w:sz w:val="32"/>
          <w:szCs w:val="32"/>
          <w:lang w:eastAsia="zh-CN"/>
        </w:rPr>
      </w:pPr>
      <w:r>
        <w:rPr>
          <w:rFonts w:ascii="方正仿宋_GBK" w:hAnsi="方正仿宋_GBK" w:eastAsia="方正仿宋_GBK" w:cs="方正仿宋_GBK"/>
          <w:color w:val="000000"/>
          <w:sz w:val="32"/>
          <w:szCs w:val="32"/>
          <w:lang w:eastAsia="zh-CN"/>
        </w:rPr>
        <w:t>（四）系统所有模块需符合基于B/S架构，无站点和用户数量授权限制，实现客户端零安装。</w:t>
      </w:r>
    </w:p>
    <w:p w14:paraId="527E7DE8">
      <w:pPr>
        <w:pStyle w:val="21"/>
        <w:adjustRightInd w:val="0"/>
        <w:snapToGrid w:val="0"/>
        <w:spacing w:line="560" w:lineRule="exact"/>
        <w:ind w:firstLine="640" w:firstLineChars="200"/>
        <w:rPr>
          <w:rFonts w:hint="default" w:ascii="方正仿宋_GBK" w:hAnsi="方正仿宋_GBK" w:eastAsia="方正仿宋_GBK" w:cs="方正仿宋_GBK"/>
          <w:color w:val="000000"/>
          <w:sz w:val="32"/>
          <w:szCs w:val="32"/>
          <w:lang w:eastAsia="zh-CN"/>
        </w:rPr>
      </w:pPr>
      <w:r>
        <w:rPr>
          <w:rFonts w:ascii="方正仿宋_GBK" w:hAnsi="方正仿宋_GBK" w:eastAsia="方正仿宋_GBK" w:cs="方正仿宋_GBK"/>
          <w:color w:val="000000"/>
          <w:sz w:val="32"/>
          <w:szCs w:val="32"/>
          <w:lang w:eastAsia="zh-CN"/>
        </w:rPr>
        <w:t>（五）实现与医院现有的HIS等系统的紧密整合，避免出现新信息孤岛式应用。实现科室及人员信息与医院现有系统同步，满足医院核算及人员统一管理。实现耗材供应链系统收费材料流程化管理，实现可收费耗材消耗计费联动，满足医保审计检查及合规管理需要。</w:t>
      </w:r>
    </w:p>
    <w:p w14:paraId="5D7C0EAB">
      <w:pPr>
        <w:pStyle w:val="21"/>
        <w:adjustRightInd w:val="0"/>
        <w:snapToGrid w:val="0"/>
        <w:spacing w:line="560" w:lineRule="exact"/>
        <w:ind w:firstLine="640" w:firstLineChars="200"/>
        <w:rPr>
          <w:rFonts w:hint="default" w:ascii="方正仿宋_GBK" w:hAnsi="方正仿宋_GBK" w:eastAsia="方正仿宋_GBK" w:cs="方正仿宋_GBK"/>
          <w:color w:val="000000"/>
          <w:sz w:val="32"/>
          <w:szCs w:val="32"/>
          <w:lang w:eastAsia="zh-CN"/>
        </w:rPr>
      </w:pPr>
      <w:r>
        <w:rPr>
          <w:rFonts w:ascii="方正仿宋_GBK" w:hAnsi="方正仿宋_GBK" w:eastAsia="方正仿宋_GBK" w:cs="方正仿宋_GBK"/>
          <w:color w:val="000000"/>
          <w:sz w:val="32"/>
          <w:szCs w:val="32"/>
          <w:lang w:eastAsia="zh-CN"/>
        </w:rPr>
        <w:t>（六）稳定性：有成熟用户验证，系统保证长时间稳定运行，保障医院各类业务人员连续性作业要求。不因软件自身问题导致数据存储丢失或错误，系统支持自动或手动恢复措施。</w:t>
      </w:r>
    </w:p>
    <w:p w14:paraId="5BA6A9C5">
      <w:pPr>
        <w:pStyle w:val="21"/>
        <w:adjustRightInd w:val="0"/>
        <w:snapToGrid w:val="0"/>
        <w:spacing w:line="560" w:lineRule="exact"/>
        <w:ind w:firstLine="640" w:firstLineChars="200"/>
        <w:rPr>
          <w:rFonts w:hint="default" w:ascii="方正仿宋_GBK" w:hAnsi="方正仿宋_GBK" w:eastAsia="方正仿宋_GBK" w:cs="方正仿宋_GBK"/>
          <w:color w:val="000000"/>
          <w:sz w:val="32"/>
          <w:szCs w:val="32"/>
          <w:lang w:eastAsia="zh-CN"/>
        </w:rPr>
      </w:pPr>
      <w:r>
        <w:rPr>
          <w:rFonts w:ascii="方正仿宋_GBK" w:hAnsi="方正仿宋_GBK" w:eastAsia="方正仿宋_GBK" w:cs="方正仿宋_GBK"/>
          <w:color w:val="000000"/>
          <w:sz w:val="32"/>
          <w:szCs w:val="32"/>
          <w:lang w:eastAsia="zh-CN"/>
        </w:rPr>
        <w:t>（七）可扩充性：系统满足当前用户工作需求，满足今后国家政策法规及医院管理需求调整，并考虑今后业务扩展及数据增大后的各种应用，实现系统功能运转。</w:t>
      </w:r>
    </w:p>
    <w:p w14:paraId="1864307A">
      <w:pPr>
        <w:pStyle w:val="21"/>
        <w:adjustRightInd w:val="0"/>
        <w:snapToGrid w:val="0"/>
        <w:spacing w:line="560" w:lineRule="exact"/>
        <w:ind w:firstLine="640" w:firstLineChars="200"/>
        <w:rPr>
          <w:rFonts w:hint="default" w:ascii="方正仿宋_GBK" w:hAnsi="方正仿宋_GBK" w:eastAsia="方正仿宋_GBK" w:cs="方正仿宋_GBK"/>
          <w:color w:val="000000"/>
          <w:sz w:val="32"/>
          <w:szCs w:val="32"/>
          <w:lang w:eastAsia="zh-CN"/>
        </w:rPr>
      </w:pPr>
      <w:r>
        <w:rPr>
          <w:rFonts w:ascii="方正仿宋_GBK" w:hAnsi="方正仿宋_GBK" w:eastAsia="方正仿宋_GBK" w:cs="方正仿宋_GBK"/>
          <w:color w:val="000000"/>
          <w:sz w:val="32"/>
          <w:szCs w:val="32"/>
          <w:lang w:eastAsia="zh-CN"/>
        </w:rPr>
        <w:t>（八）软件易用性：用户操作界面设计考虑人体结构特征及视觉特征。</w:t>
      </w:r>
    </w:p>
    <w:p w14:paraId="5C1FF32D">
      <w:pPr>
        <w:pStyle w:val="21"/>
        <w:adjustRightInd w:val="0"/>
        <w:snapToGrid w:val="0"/>
        <w:spacing w:line="560" w:lineRule="exact"/>
        <w:ind w:firstLine="640" w:firstLineChars="200"/>
        <w:rPr>
          <w:rFonts w:hint="default" w:ascii="方正仿宋_GBK" w:hAnsi="方正仿宋_GBK" w:eastAsia="方正仿宋_GBK" w:cs="方正仿宋_GBK"/>
          <w:color w:val="000000"/>
          <w:sz w:val="32"/>
          <w:szCs w:val="32"/>
          <w:lang w:eastAsia="zh-CN"/>
        </w:rPr>
      </w:pPr>
      <w:r>
        <w:rPr>
          <w:rFonts w:ascii="方正仿宋_GBK" w:hAnsi="方正仿宋_GBK" w:eastAsia="方正仿宋_GBK" w:cs="方正仿宋_GBK"/>
          <w:color w:val="000000"/>
          <w:sz w:val="32"/>
          <w:szCs w:val="32"/>
          <w:lang w:eastAsia="zh-CN"/>
        </w:rPr>
        <w:t>（九）系统对接要求：投标人需承诺实现数据的共享和流通，确保数据的一致性，接口标准化，有异常处理机制和实现数据的安全性保障。支持接入医院数据运营中心平台。</w:t>
      </w:r>
    </w:p>
    <w:p w14:paraId="733BC7F5">
      <w:pPr>
        <w:pStyle w:val="21"/>
        <w:adjustRightInd w:val="0"/>
        <w:snapToGrid w:val="0"/>
        <w:spacing w:line="560" w:lineRule="exact"/>
        <w:ind w:firstLine="640" w:firstLineChars="200"/>
        <w:rPr>
          <w:rFonts w:hint="default" w:ascii="方正仿宋_GBK" w:hAnsi="方正仿宋_GBK" w:eastAsia="方正仿宋_GBK" w:cs="方正仿宋_GBK"/>
          <w:color w:val="000000"/>
          <w:sz w:val="32"/>
          <w:szCs w:val="32"/>
          <w:lang w:eastAsia="zh-CN"/>
        </w:rPr>
      </w:pPr>
      <w:r>
        <w:rPr>
          <w:rFonts w:ascii="方正仿宋_GBK" w:hAnsi="方正仿宋_GBK" w:eastAsia="方正仿宋_GBK" w:cs="方正仿宋_GBK"/>
          <w:color w:val="000000"/>
          <w:sz w:val="32"/>
          <w:szCs w:val="32"/>
          <w:lang w:eastAsia="zh-CN"/>
        </w:rPr>
        <w:t>（十）各子系统及功能模块互联互通，可根据采购人需求进行相关数据的关联、引用、同步。</w:t>
      </w:r>
    </w:p>
    <w:p w14:paraId="0C0A923F">
      <w:pPr>
        <w:pStyle w:val="21"/>
        <w:adjustRightInd w:val="0"/>
        <w:snapToGrid w:val="0"/>
        <w:spacing w:line="560" w:lineRule="exact"/>
        <w:ind w:firstLine="640" w:firstLineChars="200"/>
        <w:rPr>
          <w:rFonts w:hint="default" w:ascii="方正仿宋_GBK" w:hAnsi="方正仿宋_GBK" w:eastAsia="方正仿宋_GBK" w:cs="方正仿宋_GBK"/>
          <w:color w:val="000000"/>
          <w:sz w:val="32"/>
          <w:szCs w:val="32"/>
          <w:lang w:eastAsia="zh-CN"/>
        </w:rPr>
      </w:pPr>
      <w:r>
        <w:rPr>
          <w:rFonts w:ascii="方正仿宋_GBK" w:hAnsi="方正仿宋_GBK" w:eastAsia="方正仿宋_GBK" w:cs="方正仿宋_GBK"/>
          <w:color w:val="000000"/>
          <w:sz w:val="32"/>
          <w:szCs w:val="32"/>
          <w:lang w:eastAsia="zh-CN"/>
        </w:rPr>
        <w:t>（十一）提供聚类、关联分析等算法及可视化配置，支持医疗科研及管理决策分析。</w:t>
      </w:r>
    </w:p>
    <w:p w14:paraId="3D7BE401">
      <w:pPr>
        <w:pStyle w:val="21"/>
        <w:adjustRightInd w:val="0"/>
        <w:snapToGrid w:val="0"/>
        <w:spacing w:line="560" w:lineRule="exact"/>
        <w:ind w:firstLine="640" w:firstLineChars="200"/>
        <w:rPr>
          <w:rFonts w:hint="default" w:ascii="方正仿宋_GBK" w:hAnsi="方正仿宋_GBK" w:eastAsia="方正仿宋_GBK" w:cs="方正仿宋_GBK"/>
          <w:color w:val="000000"/>
          <w:sz w:val="32"/>
          <w:szCs w:val="32"/>
          <w:lang w:eastAsia="zh-CN"/>
        </w:rPr>
      </w:pPr>
      <w:r>
        <w:rPr>
          <w:rFonts w:ascii="方正仿宋_GBK" w:hAnsi="方正仿宋_GBK" w:eastAsia="方正仿宋_GBK" w:cs="方正仿宋_GBK"/>
          <w:color w:val="000000"/>
          <w:sz w:val="32"/>
          <w:szCs w:val="32"/>
          <w:lang w:eastAsia="zh-CN"/>
        </w:rPr>
        <w:t>（十二）安全与运维：实现完善的身份认证和权限校验机制，关键操作均记录日志，满足等保合规要求，保证用户操作可追溯；数据加密与备份：对敏感数据存储加密，传输采用安全协议防止泄露。提供完善的备份策略，定期备份数据库和关键数据，保障数据高可用性和灾难恢复；部署系统监控组件，实时监测各微服务和数据库、中间件的运行状态。一旦出现异常或性能瓶颈，及时通过告警通知运维人员处理；提供系统性能指标的可视化看板，支持对查询慢、资源耗用高的模块进行分析优化，确保平台在高并发场景下稳定运行；支持系统间用户即时通讯。</w:t>
      </w:r>
    </w:p>
    <w:p w14:paraId="6EC59F62">
      <w:pPr>
        <w:pStyle w:val="21"/>
        <w:adjustRightInd w:val="0"/>
        <w:snapToGrid w:val="0"/>
        <w:spacing w:line="560" w:lineRule="exact"/>
        <w:ind w:firstLine="640" w:firstLineChars="200"/>
        <w:rPr>
          <w:rFonts w:hint="default" w:ascii="方正仿宋_GBK" w:hAnsi="方正仿宋_GBK" w:eastAsia="方正仿宋_GBK" w:cs="方正仿宋_GBK"/>
          <w:color w:val="000000"/>
          <w:sz w:val="32"/>
          <w:szCs w:val="32"/>
          <w:lang w:eastAsia="zh-CN"/>
        </w:rPr>
      </w:pPr>
      <w:r>
        <w:rPr>
          <w:rFonts w:ascii="方正仿宋_GBK" w:hAnsi="方正仿宋_GBK" w:eastAsia="方正仿宋_GBK" w:cs="方正仿宋_GBK"/>
          <w:color w:val="000000"/>
          <w:sz w:val="32"/>
          <w:szCs w:val="32"/>
          <w:lang w:eastAsia="zh-CN"/>
        </w:rPr>
        <w:t>（十三）建设完成后满足“智慧医院四星”标准要求，达到互联互通五级标准。</w:t>
      </w:r>
    </w:p>
    <w:p w14:paraId="570DF2E4">
      <w:pPr>
        <w:pStyle w:val="21"/>
        <w:adjustRightInd w:val="0"/>
        <w:snapToGrid w:val="0"/>
        <w:spacing w:line="560" w:lineRule="exact"/>
        <w:ind w:firstLine="640" w:firstLineChars="200"/>
        <w:rPr>
          <w:rFonts w:hint="default" w:ascii="方正仿宋_GBK" w:hAnsi="方正仿宋_GBK" w:eastAsia="方正仿宋_GBK" w:cs="方正仿宋_GBK"/>
          <w:color w:val="000000"/>
          <w:sz w:val="32"/>
          <w:szCs w:val="32"/>
          <w:lang w:eastAsia="zh-CN"/>
        </w:rPr>
      </w:pPr>
      <w:r>
        <w:rPr>
          <w:rFonts w:ascii="方正仿宋_GBK" w:hAnsi="方正仿宋_GBK" w:eastAsia="方正仿宋_GBK" w:cs="方正仿宋_GBK"/>
          <w:color w:val="000000"/>
          <w:sz w:val="32"/>
          <w:szCs w:val="32"/>
          <w:lang w:eastAsia="zh-CN"/>
        </w:rPr>
        <w:t>（十四）医院自研与知识产权归属要求</w:t>
      </w:r>
    </w:p>
    <w:p w14:paraId="5DA64C4E">
      <w:pPr>
        <w:pStyle w:val="21"/>
        <w:adjustRightInd w:val="0"/>
        <w:snapToGrid w:val="0"/>
        <w:spacing w:line="560" w:lineRule="exact"/>
        <w:ind w:firstLine="640" w:firstLineChars="200"/>
        <w:rPr>
          <w:rFonts w:hint="default" w:ascii="方正仿宋_GBK" w:hAnsi="方正仿宋_GBK" w:eastAsia="方正仿宋_GBK" w:cs="方正仿宋_GBK"/>
          <w:color w:val="000000"/>
          <w:sz w:val="32"/>
          <w:szCs w:val="32"/>
          <w:lang w:eastAsia="zh-CN"/>
        </w:rPr>
      </w:pPr>
      <w:r>
        <w:rPr>
          <w:rFonts w:ascii="方正仿宋_GBK" w:hAnsi="方正仿宋_GBK" w:eastAsia="方正仿宋_GBK" w:cs="方正仿宋_GBK"/>
          <w:color w:val="000000"/>
          <w:sz w:val="32"/>
          <w:szCs w:val="32"/>
          <w:lang w:eastAsia="zh-CN"/>
        </w:rPr>
        <w:t>系统供应商有知识产权的应当不存在任何知识产权争议或其他法律纠纷；系统没有知识产权，视为与医院合作研发，知识产权归双方共有，已有知识产权产品与本项目功能差距大而导致增加大量现场开发工作的按照没有知识产权处理，中标人应当与医院共同办理相关知识产权。本项目其余属于医院自研部分，其知识产权归属医院，中标人应当协助医院办理相关知识产权。投标人不得擅自使用、复制、传播或对外授权。本项目成果的转化、共享或商业化应用，中标人须经过医院书面同意，否则将视为违约，医院有权追究法律责任。</w:t>
      </w:r>
    </w:p>
    <w:p w14:paraId="1B4B9665">
      <w:pPr>
        <w:pStyle w:val="21"/>
        <w:adjustRightInd w:val="0"/>
        <w:snapToGrid w:val="0"/>
        <w:spacing w:line="560" w:lineRule="exact"/>
        <w:ind w:firstLine="640" w:firstLineChars="200"/>
        <w:rPr>
          <w:rFonts w:hint="default" w:ascii="方正仿宋_GBK" w:hAnsi="方正仿宋_GBK" w:eastAsia="方正仿宋_GBK" w:cs="方正仿宋_GBK"/>
          <w:color w:val="000000"/>
          <w:sz w:val="32"/>
          <w:szCs w:val="32"/>
          <w:lang w:eastAsia="zh-CN"/>
        </w:rPr>
      </w:pPr>
      <w:r>
        <w:rPr>
          <w:rFonts w:ascii="方正仿宋_GBK" w:hAnsi="方正仿宋_GBK" w:eastAsia="方正仿宋_GBK" w:cs="方正仿宋_GBK"/>
          <w:color w:val="000000"/>
          <w:sz w:val="32"/>
          <w:szCs w:val="32"/>
          <w:lang w:eastAsia="zh-CN"/>
        </w:rPr>
        <w:t>（十五）支持医院数据对接，并且支持数据挖掘，提供相关研发人员在完成现有信息化需求建设下，支持系统扩展与创新，并且支持兼容。</w:t>
      </w:r>
    </w:p>
    <w:p w14:paraId="3990683F">
      <w:pPr>
        <w:pStyle w:val="21"/>
        <w:adjustRightInd w:val="0"/>
        <w:snapToGrid w:val="0"/>
        <w:spacing w:line="560" w:lineRule="exact"/>
        <w:ind w:firstLine="640" w:firstLineChars="200"/>
        <w:rPr>
          <w:rFonts w:hint="default" w:ascii="方正仿宋_GBK" w:hAnsi="方正仿宋_GBK" w:eastAsia="方正仿宋_GBK" w:cs="方正仿宋_GBK"/>
          <w:color w:val="000000"/>
          <w:sz w:val="32"/>
          <w:szCs w:val="32"/>
          <w:lang w:eastAsia="zh-CN"/>
        </w:rPr>
      </w:pPr>
      <w:r>
        <w:rPr>
          <w:rFonts w:ascii="方正仿宋_GBK" w:hAnsi="方正仿宋_GBK" w:eastAsia="方正仿宋_GBK" w:cs="方正仿宋_GBK"/>
          <w:color w:val="000000"/>
          <w:sz w:val="32"/>
          <w:szCs w:val="32"/>
          <w:lang w:eastAsia="zh-CN"/>
        </w:rPr>
        <w:t>（十六）中标后结合医院既有的信息化项目管理、研发和产品设计经验，提供覆盖全流程的工具支持，至少涵盖项目管理工具（JIRA、Teambition、Trello）、原型设计及协作工具（墨刀、蓝湖、Master GO、慕客）、接口调试工具、代码管理工具，以及其他相关开发支撑工具；甲方需要具有对相关工具的使用权及对数据的归属权；确保工具符合合法性要求，具备稳定性、可用性，并满足甲方在项目管理、产品设计、开发调试、质量控制等方面的需求。此外，乙方需提供相应的技术支持与培训，确保甲方团队能够高效使用相关工具，提高项目交付效率。</w:t>
      </w:r>
    </w:p>
    <w:p w14:paraId="017256FB">
      <w:pPr>
        <w:pStyle w:val="20"/>
        <w:spacing w:before="0" w:beforeAutospacing="0" w:after="0" w:afterAutospacing="0" w:line="560" w:lineRule="exact"/>
        <w:ind w:firstLine="640" w:firstLineChars="200"/>
        <w:jc w:val="both"/>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（十七）详细功能要求</w:t>
      </w:r>
    </w:p>
    <w:tbl>
      <w:tblPr>
        <w:tblStyle w:val="14"/>
        <w:tblW w:w="8928"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13"/>
        <w:gridCol w:w="6306"/>
      </w:tblGrid>
      <w:tr w14:paraId="5DB8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E185F3C">
            <w:pPr>
              <w:rPr>
                <w:rFonts w:eastAsia="宋体"/>
                <w:b/>
                <w:bCs/>
              </w:rPr>
            </w:pPr>
            <w:r>
              <w:rPr>
                <w:rFonts w:hint="eastAsia"/>
                <w:b/>
                <w:bCs/>
              </w:rPr>
              <w:t>序号</w:t>
            </w:r>
          </w:p>
        </w:tc>
        <w:tc>
          <w:tcPr>
            <w:tcW w:w="1913" w:type="dxa"/>
            <w:vAlign w:val="center"/>
          </w:tcPr>
          <w:p w14:paraId="03E98ADE">
            <w:pPr>
              <w:jc w:val="center"/>
              <w:rPr>
                <w:b/>
                <w:bCs/>
              </w:rPr>
            </w:pPr>
            <w:r>
              <w:rPr>
                <w:rFonts w:hint="eastAsia"/>
                <w:b/>
                <w:bCs/>
              </w:rPr>
              <w:t>功能类别</w:t>
            </w:r>
          </w:p>
        </w:tc>
        <w:tc>
          <w:tcPr>
            <w:tcW w:w="6306" w:type="dxa"/>
            <w:vAlign w:val="center"/>
          </w:tcPr>
          <w:p w14:paraId="5715B776">
            <w:pPr>
              <w:jc w:val="center"/>
              <w:rPr>
                <w:b/>
                <w:bCs/>
              </w:rPr>
            </w:pPr>
            <w:r>
              <w:rPr>
                <w:rFonts w:hint="eastAsia"/>
                <w:b/>
                <w:bCs/>
              </w:rPr>
              <w:t>功能描述</w:t>
            </w:r>
          </w:p>
        </w:tc>
      </w:tr>
      <w:tr w14:paraId="66D8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8CD41E4">
            <w:pPr>
              <w:jc w:val="center"/>
              <w:rPr>
                <w:rFonts w:eastAsia="宋体"/>
              </w:rPr>
            </w:pPr>
            <w:r>
              <w:rPr>
                <w:rFonts w:hint="eastAsia"/>
              </w:rPr>
              <w:t>1</w:t>
            </w:r>
          </w:p>
        </w:tc>
        <w:tc>
          <w:tcPr>
            <w:tcW w:w="1913" w:type="dxa"/>
            <w:vAlign w:val="center"/>
          </w:tcPr>
          <w:p w14:paraId="756588AA">
            <w:pPr>
              <w:widowControl/>
              <w:jc w:val="center"/>
            </w:pPr>
            <w:r>
              <w:rPr>
                <w:rFonts w:hint="eastAsia" w:ascii="Calibri" w:hAnsi="Calibri" w:eastAsia="宋体" w:cs="Times New Roman"/>
                <w:lang w:bidi="ar"/>
              </w:rPr>
              <w:t>组织管理</w:t>
            </w:r>
          </w:p>
        </w:tc>
        <w:tc>
          <w:tcPr>
            <w:tcW w:w="6306" w:type="dxa"/>
          </w:tcPr>
          <w:p w14:paraId="3A36A84E">
            <w:r>
              <w:rPr>
                <w:rFonts w:hint="eastAsia"/>
              </w:rPr>
              <w:t>1.组织机构</w:t>
            </w:r>
          </w:p>
          <w:p w14:paraId="7F77EB38">
            <w:r>
              <w:rPr>
                <w:rFonts w:hint="eastAsia"/>
              </w:rPr>
              <w:t>系统具备能够对医院、行政科室、业务科室等组织体系进行自定义管理，支持生成组织机构图，能够层层展开与信息穿透，清晰直观体现机构的层级与机构信息。支持组织机构图按时点导出对应的PDF和图片PNG导出；</w:t>
            </w:r>
          </w:p>
          <w:p w14:paraId="4C7114BC">
            <w:r>
              <w:rPr>
                <w:rFonts w:hint="eastAsia"/>
              </w:rPr>
              <w:t>2.系统具备实现组织机构的动态管理，能够对组织机构进行机构新增、撤销、合并、划转、查询、修改、调整组织单元的顺序以及删除等；组织机构调整时，支持对机构下的人员批量进行划转，人员信息不受影响。</w:t>
            </w:r>
          </w:p>
          <w:p w14:paraId="0D2DAA89">
            <w:r>
              <w:rPr>
                <w:rFonts w:hint="eastAsia"/>
              </w:rPr>
              <w:t>3.系统具备支持针对组织变化历史情况进行追溯查询。</w:t>
            </w:r>
          </w:p>
          <w:p w14:paraId="0BFB1AC0">
            <w:r>
              <w:rPr>
                <w:rFonts w:hint="eastAsia"/>
              </w:rPr>
              <w:t>4.系统具备对于科室变更，应支持多层审批流程，同时能够清晰地查询变更历史信息。</w:t>
            </w:r>
          </w:p>
          <w:p w14:paraId="13F31821">
            <w:r>
              <w:rPr>
                <w:rFonts w:hint="eastAsia"/>
              </w:rPr>
              <w:t>5.系统具备支持人员编制管理，要考虑编制政策的要求，统计出人员的缺编、超编情况，包括管理人员、专业技术人员和工勤技能人员，根据职称等级分类统计。并按照相关原则制定每年的人员总量计划。</w:t>
            </w:r>
          </w:p>
          <w:p w14:paraId="16551E8A">
            <w:r>
              <w:rPr>
                <w:rFonts w:hint="eastAsia"/>
              </w:rPr>
              <w:t>6.系统具备医疗组管理功能，支持自定义医疗组的划分，能够设置医疗组的组长、成员及其职责，实现医疗组内部的排班、任务分配等功能。同时，系统需支持医疗组绩效的统计分析，为医疗组的管理和考核提供依据。</w:t>
            </w:r>
          </w:p>
        </w:tc>
      </w:tr>
      <w:tr w14:paraId="4455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B154151">
            <w:pPr>
              <w:jc w:val="center"/>
              <w:rPr>
                <w:rFonts w:eastAsia="宋体"/>
              </w:rPr>
            </w:pPr>
            <w:r>
              <w:rPr>
                <w:rFonts w:hint="eastAsia"/>
              </w:rPr>
              <w:t>2</w:t>
            </w:r>
          </w:p>
        </w:tc>
        <w:tc>
          <w:tcPr>
            <w:tcW w:w="1913" w:type="dxa"/>
            <w:vAlign w:val="center"/>
          </w:tcPr>
          <w:p w14:paraId="51B90D2A">
            <w:pPr>
              <w:jc w:val="center"/>
              <w:rPr>
                <w:rFonts w:eastAsia="宋体"/>
              </w:rPr>
            </w:pPr>
            <w:r>
              <w:rPr>
                <w:rFonts w:hint="eastAsia"/>
              </w:rPr>
              <w:t>岗位管理</w:t>
            </w:r>
          </w:p>
        </w:tc>
        <w:tc>
          <w:tcPr>
            <w:tcW w:w="6306" w:type="dxa"/>
          </w:tcPr>
          <w:p w14:paraId="0A20FFD8">
            <w:r>
              <w:rPr>
                <w:rFonts w:hint="eastAsia"/>
              </w:rPr>
              <w:t>1.系统具备能建立适合医院运行的岗位体系，包括岗位分类（如医、护、药、技、管理、工勤、其他卫生专业技术、其他专业技术等等）、行政级别（如：院长、科主任等）、职称级别（如：主任医师、副主任医师主治医师、住院医师）等，维护简易便捷。</w:t>
            </w:r>
          </w:p>
          <w:p w14:paraId="7E116FF2">
            <w:r>
              <w:rPr>
                <w:rFonts w:hint="eastAsia"/>
              </w:rPr>
              <w:t>2.系统具备支持对岗位基本信息管理，自动生成岗位说明书，如岗位名称、所属部门、岗位编号、工作概述、岗位职责、任职资格、岗位编制、岗位关系、工作权限、协调关系、绩效考核要点等信息的维护与管理。</w:t>
            </w:r>
          </w:p>
          <w:p w14:paraId="13E79358">
            <w:r>
              <w:rPr>
                <w:rFonts w:hint="eastAsia"/>
              </w:rPr>
              <w:t>3.系统具备能够对岗位进行修改、删除、调整、复制、撤销、查看职位说明书、导入或导出岗位说明书操作。</w:t>
            </w:r>
          </w:p>
          <w:p w14:paraId="5E03A7FD">
            <w:r>
              <w:rPr>
                <w:rFonts w:hint="eastAsia"/>
              </w:rPr>
              <w:t>4.系统具备能够根据岗位体系中的汇报关系自动生成岗位汇报关系图。</w:t>
            </w:r>
          </w:p>
          <w:p w14:paraId="71023768">
            <w:r>
              <w:rPr>
                <w:rFonts w:hint="eastAsia"/>
              </w:rPr>
              <w:t>5.系统具备可以对岗位体系中的基本情况、工作内容、任职资格、上下级关系进行自定义管理，也可以自动生成为招聘岗位的要求。</w:t>
            </w:r>
          </w:p>
        </w:tc>
      </w:tr>
      <w:tr w14:paraId="22B1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AA1496A">
            <w:pPr>
              <w:jc w:val="center"/>
              <w:rPr>
                <w:rFonts w:eastAsia="宋体"/>
              </w:rPr>
            </w:pPr>
            <w:r>
              <w:rPr>
                <w:rFonts w:hint="eastAsia"/>
              </w:rPr>
              <w:t>3</w:t>
            </w:r>
          </w:p>
        </w:tc>
        <w:tc>
          <w:tcPr>
            <w:tcW w:w="1913" w:type="dxa"/>
            <w:vAlign w:val="center"/>
          </w:tcPr>
          <w:p w14:paraId="3E81D5CB">
            <w:pPr>
              <w:jc w:val="center"/>
              <w:rPr>
                <w:rFonts w:eastAsia="宋体"/>
              </w:rPr>
            </w:pPr>
            <w:r>
              <w:rPr>
                <w:rFonts w:hint="eastAsia"/>
              </w:rPr>
              <w:t>员工管理</w:t>
            </w:r>
          </w:p>
        </w:tc>
        <w:tc>
          <w:tcPr>
            <w:tcW w:w="6306" w:type="dxa"/>
          </w:tcPr>
          <w:p w14:paraId="69FAC500">
            <w:r>
              <w:rPr>
                <w:rFonts w:hint="eastAsia"/>
              </w:rPr>
              <w:t>1.员工信息管理</w:t>
            </w:r>
          </w:p>
          <w:p w14:paraId="03A1DA95">
            <w:r>
              <w:rPr>
                <w:rFonts w:hint="eastAsia"/>
              </w:rPr>
              <w:t>（1）系统可根据单位需要增加、修改员工信息项，跟踪记录职工从入职到退休或离职全过程的记录，实现对人员信息全面、准确的管理。包括但不限于以下信息：基本信息（出生日期、籍贯、性别、身份证号、政治面貌、用工形式、员工编号、照片、科室、所在支部、岗位、职位、家庭情况、技术职称、现任行政职务、执业资格、党内职务、任职时间、户口所在地、联系方式等）及其他子集：如学习经历、导师资格、工作经历、专业技术职务变更记录、行政职务和党务职务任免记录、工人技术等级情况、政治面貌情况记录、工会会员、合同管理记录、岗位变动记录、培训记录、奖惩记录、专利及荣誉称号记录、军转干部记录、体检记录、休假记录、考勤记录、申请记录、年度考核结果、工资变动记录、兼职情况、返聘情况、出国（境）记录、离退休记录、亲属及社会关系、科研成果（与科研信息系统对接）等，支持字段扩容。</w:t>
            </w:r>
          </w:p>
          <w:p w14:paraId="2E765245">
            <w:r>
              <w:rPr>
                <w:rFonts w:hint="eastAsia"/>
              </w:rPr>
              <w:t>（2）能够上传、保存、查询、浏览人员的多媒体信息，包括照片、视频、考核材料 、证书扫描件、任免职文件等，实现人员信息的立体化管理。</w:t>
            </w:r>
          </w:p>
          <w:p w14:paraId="19E5F5B2">
            <w:r>
              <w:rPr>
                <w:rFonts w:hint="eastAsia"/>
              </w:rPr>
              <w:t>（3）系统提供查询和统计分析功能，可进行多种形式、多种角度的查询和统计分析，能支持模糊查询，多条件查询。</w:t>
            </w:r>
          </w:p>
          <w:p w14:paraId="1DB4D40D">
            <w:r>
              <w:rPr>
                <w:rFonts w:hint="eastAsia"/>
              </w:rPr>
              <w:t>（4）人员工号编码规则应统一，在员工的全生命周期应该自动统一编号。员工编码支持文本格式。多次入院员工号复用，如重新录用人员仍使用原先的原工号。</w:t>
            </w:r>
          </w:p>
          <w:p w14:paraId="10B9B19A">
            <w:r>
              <w:rPr>
                <w:rFonts w:hint="eastAsia"/>
              </w:rPr>
              <w:t>（5）支持对员工个人详细信息，分子集管理（教育学历、通讯信息、工作经验、家庭成员、培训经历、职称信息、薪酬调降信息、职务任免等），支持员工个人在自助页面修改个人基本信息，包含通讯信息、家庭主要成员信息、紧急联系人信息等。</w:t>
            </w:r>
          </w:p>
          <w:p w14:paraId="00BF5499">
            <w:r>
              <w:rPr>
                <w:rFonts w:hint="eastAsia"/>
              </w:rPr>
              <w:t xml:space="preserve">（6）系统自动记录修改记录，保存修改信息历史记录。（信息包含且不限于操作人，操作时间，变更前信息和变更后信息）。  </w:t>
            </w:r>
          </w:p>
          <w:p w14:paraId="27833509">
            <w:r>
              <w:rPr>
                <w:rFonts w:hint="eastAsia"/>
              </w:rPr>
              <w:t xml:space="preserve">（7）支持人员信息之间的相互校验。比如信息字段不可为空、两条经历信息之间不能空挡、且不能重叠、出生日期与身份证号的校验等。以及根据逻辑条件或涉及的流程校验字段准确性。 </w:t>
            </w:r>
          </w:p>
          <w:p w14:paraId="7831B805">
            <w:r>
              <w:rPr>
                <w:rFonts w:hint="eastAsia"/>
              </w:rPr>
              <w:t>（8）支持员工信息（集）的批量导入，支持导入系统外部采集的数据并按照规则写入员工信息（集）中、如信息登记表或员工简历信息，以及可根据自定义模板批量导出员工信息（若需要可带照片）。</w:t>
            </w:r>
          </w:p>
          <w:p w14:paraId="717BDF32">
            <w:r>
              <w:rPr>
                <w:rFonts w:hint="eastAsia"/>
              </w:rPr>
              <w:t>（9）可自定义查询条件；可对任一历史时点的数据进行分析，并保存分析记录，并可根据自定义打印模板进行打印。</w:t>
            </w:r>
          </w:p>
          <w:p w14:paraId="2D0EC943">
            <w:r>
              <w:rPr>
                <w:rFonts w:hint="eastAsia"/>
              </w:rPr>
              <w:t>（10）可设定自助筛选条件、选人、校验人员是否满足条件。可按筛选条件便捷的生成自定义花名册，内容可自助配置。花名册可以以EXCEL/WORD等多种文件格式导出下载。</w:t>
            </w:r>
          </w:p>
          <w:p w14:paraId="278A909D">
            <w:r>
              <w:rPr>
                <w:rFonts w:hint="eastAsia"/>
              </w:rPr>
              <w:t>（11）通过对花名册中基本信息的数据分析，自动形成柱状图、饼状图等图像，从而更直观的分析员工情况。</w:t>
            </w:r>
          </w:p>
          <w:p w14:paraId="686400AA">
            <w:r>
              <w:rPr>
                <w:rFonts w:hint="eastAsia"/>
              </w:rPr>
              <w:t>2.员工入、离、退、死亡管理</w:t>
            </w:r>
          </w:p>
          <w:p w14:paraId="39D925D4">
            <w:r>
              <w:rPr>
                <w:rFonts w:hint="eastAsia"/>
              </w:rPr>
              <w:t>（1）入职后员工能通过员工自助查看个人信息，也可经授权后向人力资源处提交反馈信息或修改申请。</w:t>
            </w:r>
          </w:p>
          <w:p w14:paraId="58C35A78">
            <w:r>
              <w:rPr>
                <w:rFonts w:hint="eastAsia"/>
              </w:rPr>
              <w:t>（2）系统中员工编号可自动生成或手动生成，支持身份证校验、支持从招聘模块导入员工信息等功能。</w:t>
            </w:r>
          </w:p>
          <w:p w14:paraId="646E891B">
            <w:r>
              <w:rPr>
                <w:rFonts w:hint="eastAsia"/>
              </w:rPr>
              <w:t>（3）员工试用管理，试用期考核人及考核流程可以根据需要灵活设置。员工可在线填写试用期工作总结、转正总结，用人科室在考核期间可跟踪记录，人力资源部可以查看记录。对于试用期阶段考核不合格的职工，系统自动进行提示。系统支持试用期到期提醒、转正确认、不同类型职工使用不同考核方案。</w:t>
            </w:r>
          </w:p>
          <w:p w14:paraId="2665EDD5">
            <w:r>
              <w:rPr>
                <w:rFonts w:hint="eastAsia"/>
              </w:rPr>
              <w:t>（4）系统支持员工自助申请离职，系统可定义离职审批流程。可记录员工录离职时间、离职类型、离职原因等信息，并能上传各种证明的扫描件存档，以备查阅。形成离职申请单，能自动编号备案，并下载打印，在离职流程环节中，职工能在线填写离职调查问卷，系统能自动统计调查问卷的结果，生成统计分析表。系统能统计自定义时间内的离职人员情况，生成统计表格，并提示岗位空缺，离职办理完毕自动调入离职人员库。</w:t>
            </w:r>
          </w:p>
          <w:p w14:paraId="3316D4AA">
            <w:r>
              <w:rPr>
                <w:rFonts w:hint="eastAsia"/>
              </w:rPr>
              <w:t>（5）离退休员工管理，能查看离退休人员的信息，并对部分信息进行维护，提供强大的查询和统计分析功能，多种形式、多种角度的查询、统计分析（支持模糊查询、支持多条件查询）、要方便易用，可保留常用查询条件等。可灵活定义各种登记表和花名册，实现输出形式的个性化和多样化，可导出Excel。</w:t>
            </w:r>
          </w:p>
          <w:p w14:paraId="66AECB17">
            <w:r>
              <w:rPr>
                <w:rFonts w:hint="eastAsia"/>
              </w:rPr>
              <w:t>3.员工异动管理</w:t>
            </w:r>
          </w:p>
          <w:p w14:paraId="4F369012">
            <w:r>
              <w:rPr>
                <w:rFonts w:hint="eastAsia"/>
              </w:rPr>
              <w:t>（1）系统能记录员工变动原因、变动时间、变动岗位等信息。包括但不限于外派、科室轮转、轮岗、正常调动、岗位变动等。</w:t>
            </w:r>
          </w:p>
          <w:p w14:paraId="61FD8F2D">
            <w:r>
              <w:rPr>
                <w:rFonts w:hint="eastAsia"/>
              </w:rPr>
              <w:t>（2）系统能够生成员工异动表格</w:t>
            </w:r>
          </w:p>
          <w:p w14:paraId="795BA013">
            <w:r>
              <w:rPr>
                <w:rFonts w:hint="eastAsia"/>
              </w:rPr>
              <w:t>系统可生成科室轮转表、岗位变动表、规培人员轮转表。主管科室能够通过自助提出异动申请，自定义流程审批。系统能同步护理管理系统中护理人员科室调配的记录，自动变更人员所在部门及岗位和考勤。</w:t>
            </w:r>
          </w:p>
        </w:tc>
      </w:tr>
      <w:tr w14:paraId="2314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FDC5700">
            <w:pPr>
              <w:jc w:val="center"/>
            </w:pPr>
            <w:r>
              <w:rPr>
                <w:rFonts w:hint="eastAsia"/>
              </w:rPr>
              <w:t>4</w:t>
            </w:r>
          </w:p>
        </w:tc>
        <w:tc>
          <w:tcPr>
            <w:tcW w:w="1913" w:type="dxa"/>
            <w:vAlign w:val="center"/>
          </w:tcPr>
          <w:p w14:paraId="72AEF9AB">
            <w:pPr>
              <w:jc w:val="center"/>
              <w:rPr>
                <w:rFonts w:eastAsia="宋体"/>
              </w:rPr>
            </w:pPr>
            <w:r>
              <w:rPr>
                <w:rFonts w:hint="eastAsia"/>
              </w:rPr>
              <w:t>招聘管理</w:t>
            </w:r>
          </w:p>
        </w:tc>
        <w:tc>
          <w:tcPr>
            <w:tcW w:w="6306" w:type="dxa"/>
          </w:tcPr>
          <w:p w14:paraId="09196FF2">
            <w:r>
              <w:rPr>
                <w:rFonts w:hint="eastAsia"/>
              </w:rPr>
              <w:t>1.招聘计划</w:t>
            </w:r>
          </w:p>
          <w:p w14:paraId="6D3BEDD7">
            <w:pPr>
              <w:pStyle w:val="8"/>
              <w:rPr>
                <w:rFonts w:ascii="宋体" w:hAnsi="宋体" w:eastAsia="宋体" w:cs="宋体"/>
                <w:sz w:val="24"/>
                <w:szCs w:val="24"/>
              </w:rPr>
            </w:pPr>
            <w:r>
              <w:rPr>
                <w:rFonts w:ascii="宋体" w:hAnsi="宋体" w:eastAsia="宋体" w:cs="宋体"/>
                <w:sz w:val="24"/>
                <w:szCs w:val="24"/>
              </w:rPr>
              <w:t>各科室通过系统上报(1)招聘计划及(2)科管小组签字确认表，招聘计划包括招聘岗位名称、专业方向、岗位职责、年龄及学历学位要求、需求人数等，相关职能科室按照流程审核权限提供相应流程审核结果或招聘意见，分管副院长审核后人力资源部导出表格提交人事分管院长、院长办公会、党委会，医院形成决议后人力资源部在系统上进行审核和反馈。</w:t>
            </w:r>
          </w:p>
          <w:p w14:paraId="5EF4D5F4">
            <w:pPr>
              <w:pStyle w:val="8"/>
            </w:pPr>
            <w:r>
              <w:rPr>
                <w:rFonts w:hint="eastAsia"/>
              </w:rPr>
              <w:t>2.招聘批次</w:t>
            </w:r>
          </w:p>
          <w:p w14:paraId="41F9592F">
            <w:r>
              <w:rPr>
                <w:rFonts w:hint="eastAsia"/>
              </w:rPr>
              <w:t>可根据招聘计划建立多个批次，针对每个批次可设置招聘归属部门、招聘渠道、招聘流程、招聘时间范围、报名时间范围、打印准考证时间、查看成绩时间等。</w:t>
            </w:r>
          </w:p>
          <w:p w14:paraId="1754335D">
            <w:r>
              <w:rPr>
                <w:rFonts w:hint="eastAsia"/>
              </w:rPr>
              <w:t>3.招聘职位</w:t>
            </w:r>
          </w:p>
          <w:p w14:paraId="26747DAC">
            <w:r>
              <w:rPr>
                <w:rFonts w:hint="eastAsia"/>
              </w:rPr>
              <w:t>根据在不同批次下，可由人力资源部门或各科室按照权限创建招聘职位及相关要求，并支持发布到招聘门户。支持内部招聘、校园招聘和社会招聘，内部招聘包括单位可以发布内部招聘需求，员工可以申请该职位，同时支持匿名申请，提供录用管理，应聘人员信息能够自动转入正式人员库中。</w:t>
            </w:r>
          </w:p>
          <w:p w14:paraId="526E3E85">
            <w:r>
              <w:rPr>
                <w:rFonts w:hint="eastAsia"/>
              </w:rPr>
              <w:t>4.招聘门户</w:t>
            </w:r>
          </w:p>
          <w:p w14:paraId="207377E2">
            <w:r>
              <w:rPr>
                <w:rFonts w:hint="eastAsia"/>
              </w:rPr>
              <w:t>通过WEB外网招聘门户及二维码招码招聘门户，应聘人员可通过WEB外网招聘门户及二维码招码招聘门户查阅和申请职位信息，可填写与提交个人简历和相关证件材料附件，获悉职位申请状态，打印准考证，查询成绩，接收消息反馈。</w:t>
            </w:r>
          </w:p>
          <w:p w14:paraId="22D75762">
            <w:r>
              <w:rPr>
                <w:rFonts w:hint="eastAsia"/>
              </w:rPr>
              <w:t>5.简历中心</w:t>
            </w:r>
          </w:p>
          <w:p w14:paraId="586091CD">
            <w:r>
              <w:rPr>
                <w:rFonts w:hint="eastAsia"/>
              </w:rPr>
              <w:t>（1）系统可自动检查简历是否匹配职位要求，并可自定义筛选条件，减少招聘人员人工筛选简历的工作量；能够进行人岗自动匹配，方便进行简历筛选。</w:t>
            </w:r>
          </w:p>
          <w:p w14:paraId="4EA5379E">
            <w:r>
              <w:rPr>
                <w:rFonts w:hint="eastAsia"/>
              </w:rPr>
              <w:t>（2）系统具有在WEB外网招聘门户实现简历的修改、筛选、简历审核的通过、淘汰、待定、发信息、添加标签、安排面试、发起笔试测评功能。</w:t>
            </w:r>
          </w:p>
          <w:p w14:paraId="36D627A3">
            <w:r>
              <w:rPr>
                <w:rFonts w:hint="eastAsia"/>
              </w:rPr>
              <w:t>（3）对于符合条件的简历，接受申请后进入职位候选人资格审查环节，并自动通知应聘者审核状态。</w:t>
            </w:r>
          </w:p>
          <w:p w14:paraId="2B7D721C">
            <w:r>
              <w:rPr>
                <w:rFonts w:hint="eastAsia"/>
              </w:rPr>
              <w:t>（4）系统具有在WEB外网招聘门户直接实现应聘人员录用、人才库管理、数据统计功能管理。</w:t>
            </w:r>
          </w:p>
          <w:p w14:paraId="71D371B8">
            <w:r>
              <w:rPr>
                <w:rFonts w:hint="eastAsia"/>
              </w:rPr>
              <w:t>（5）对于符合条件的简历，接受申请后进入职位候选人资格审查环节，并自动通知应聘者审核状态。</w:t>
            </w:r>
          </w:p>
          <w:p w14:paraId="74ECCFBE">
            <w:r>
              <w:rPr>
                <w:rFonts w:hint="eastAsia"/>
              </w:rPr>
              <w:t>（6）可对应聘人员信息进行综合分析，掌握人才结构，了解人才发展趋势</w:t>
            </w:r>
          </w:p>
          <w:p w14:paraId="0E604819">
            <w:r>
              <w:rPr>
                <w:rFonts w:hint="eastAsia"/>
              </w:rPr>
              <w:t>（7）支持与门户网对接，将人员简历基本信息与人员管理系统关联存档。</w:t>
            </w:r>
          </w:p>
          <w:p w14:paraId="6DC47EA5">
            <w:r>
              <w:rPr>
                <w:rFonts w:hint="eastAsia"/>
              </w:rPr>
              <w:t>6.招聘流程</w:t>
            </w:r>
          </w:p>
          <w:p w14:paraId="3DD16DA0">
            <w:r>
              <w:rPr>
                <w:rFonts w:hint="eastAsia"/>
              </w:rPr>
              <w:t>（1）根据具体的招聘批次或招聘岗位，灵活定义如初试、笔试、面试等不同的招聘流程。</w:t>
            </w:r>
          </w:p>
          <w:p w14:paraId="27E01B28">
            <w:r>
              <w:rPr>
                <w:rFonts w:hint="eastAsia"/>
              </w:rPr>
              <w:t>（2）招聘流程的各个环节可设置邮件或短信通知模板，在不同环节可自动触发通知给应聘人员或相关招聘人员，如面试官等。应聘者可通过邮件、短信或招聘门户及时了解单位的招聘进度及相关招聘安排。</w:t>
            </w:r>
          </w:p>
          <w:p w14:paraId="33F3E9FD">
            <w:r>
              <w:rPr>
                <w:rFonts w:hint="eastAsia"/>
              </w:rPr>
              <w:t>（3）系统对未入选人员自动进入人才库。</w:t>
            </w:r>
          </w:p>
        </w:tc>
      </w:tr>
      <w:tr w14:paraId="4C2E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C037D58">
            <w:pPr>
              <w:jc w:val="center"/>
            </w:pPr>
            <w:r>
              <w:rPr>
                <w:rFonts w:hint="eastAsia"/>
              </w:rPr>
              <w:t>5</w:t>
            </w:r>
          </w:p>
        </w:tc>
        <w:tc>
          <w:tcPr>
            <w:tcW w:w="1913" w:type="dxa"/>
            <w:vAlign w:val="center"/>
          </w:tcPr>
          <w:p w14:paraId="0506BF0D">
            <w:pPr>
              <w:jc w:val="center"/>
              <w:rPr>
                <w:rFonts w:eastAsia="宋体"/>
              </w:rPr>
            </w:pPr>
            <w:r>
              <w:rPr>
                <w:rFonts w:hint="eastAsia"/>
              </w:rPr>
              <w:t>考勤管理</w:t>
            </w:r>
          </w:p>
        </w:tc>
        <w:tc>
          <w:tcPr>
            <w:tcW w:w="6306" w:type="dxa"/>
          </w:tcPr>
          <w:p w14:paraId="46580AE1">
            <w:r>
              <w:rPr>
                <w:rFonts w:hint="eastAsia"/>
              </w:rPr>
              <w:t>可建立多种考勤方案，对系统中所有管理对象进行考勤管理，并且可对不同类别的人员采用不同的考勤规则。</w:t>
            </w:r>
          </w:p>
          <w:p w14:paraId="3E3429CD">
            <w:r>
              <w:rPr>
                <w:rFonts w:hint="eastAsia"/>
              </w:rPr>
              <w:t xml:space="preserve">1.日常考勤 </w:t>
            </w:r>
          </w:p>
          <w:p w14:paraId="7730D476">
            <w:r>
              <w:rPr>
                <w:rFonts w:hint="eastAsia"/>
              </w:rPr>
              <w:t>系统支持预留智能考勤方式通路（钉钉OA系统、企业微信对接考勤系统等）。提供多种班次定义方式，提供夜班和跨天设置，各科室（各科室权限人员）可以对本科室成员进行每月的排班操作。（支持访问权限控制，确保只有授权人员才能修改考勤数据。）</w:t>
            </w:r>
          </w:p>
          <w:p w14:paraId="3BDE6F00">
            <w:r>
              <w:rPr>
                <w:rFonts w:hint="eastAsia"/>
              </w:rPr>
              <w:t>2.支持根据排班情况及请休假的审批情况综合复核生成考勤数据，保留有权限的考勤员填报或修改考勤数据并留痕。每月考勤上报之后，能自动生成员工考勤部门变动表。支持员工提交异常考勤申诉、支持科室负责人审批申诉</w:t>
            </w:r>
          </w:p>
          <w:p w14:paraId="78C3F6F4">
            <w:r>
              <w:rPr>
                <w:rFonts w:hint="eastAsia"/>
              </w:rPr>
              <w:t>3.灵活定义每个部门或员工的考勤记录规则、休假规则、考勤日历，可生成选定时间内个人、部门或全员的出勤数据统计图表、请休假数据统计图表，并支持权限内的下载和打印。</w:t>
            </w:r>
          </w:p>
          <w:p w14:paraId="23B2077C">
            <w:r>
              <w:rPr>
                <w:rFonts w:hint="eastAsia"/>
              </w:rPr>
              <w:t>4.当员工所在科室发生变动时，调出科室和接收科室考勤员（或护士长科室负责人）应能实时在系统中提出调出申请和接收确认操作，并提交相应的考勤记录，系统能自动将不同科室对同一人员的出勤记录进行合并，在数据超出范围时自动提示错误。</w:t>
            </w:r>
          </w:p>
          <w:p w14:paraId="61D9DD42">
            <w:r>
              <w:rPr>
                <w:rFonts w:hint="eastAsia"/>
              </w:rPr>
              <w:t>5.系统对历史考勤数据提供封存功能，能查询针对某一时间段、某人、某考勤单位的出勤情况。</w:t>
            </w:r>
          </w:p>
          <w:p w14:paraId="0DD4F1C9">
            <w:r>
              <w:rPr>
                <w:rFonts w:hint="eastAsia"/>
              </w:rPr>
              <w:t>6.支持excel表格形式考勤数据的导入导出，并能在考勤上报日前5天自动提醒各科室考勤员上报。</w:t>
            </w:r>
          </w:p>
          <w:p w14:paraId="394B43C1">
            <w:r>
              <w:rPr>
                <w:rFonts w:hint="eastAsia"/>
              </w:rPr>
              <w:t>7.支持在线提出请休假及加班申请、审批流程与记录（支持多级审批流程、支持审批流程自定义、支持职工查看假期审批状态和剩余年休假情况、支持加班时长统计与补偿规则设置）。</w:t>
            </w:r>
          </w:p>
        </w:tc>
      </w:tr>
      <w:tr w14:paraId="1108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291D4D1">
            <w:pPr>
              <w:jc w:val="center"/>
            </w:pPr>
            <w:r>
              <w:rPr>
                <w:rFonts w:hint="eastAsia"/>
              </w:rPr>
              <w:t>6</w:t>
            </w:r>
          </w:p>
        </w:tc>
        <w:tc>
          <w:tcPr>
            <w:tcW w:w="1913" w:type="dxa"/>
            <w:vAlign w:val="center"/>
          </w:tcPr>
          <w:p w14:paraId="01FF9836">
            <w:pPr>
              <w:jc w:val="center"/>
              <w:rPr>
                <w:rFonts w:eastAsia="宋体"/>
              </w:rPr>
            </w:pPr>
            <w:r>
              <w:rPr>
                <w:rFonts w:hint="eastAsia"/>
              </w:rPr>
              <w:t>合同管理</w:t>
            </w:r>
          </w:p>
        </w:tc>
        <w:tc>
          <w:tcPr>
            <w:tcW w:w="6306" w:type="dxa"/>
          </w:tcPr>
          <w:p w14:paraId="3F0D90B7">
            <w:r>
              <w:rPr>
                <w:rFonts w:hint="eastAsia"/>
              </w:rPr>
              <w:t>能够保存全体职工的合同信息，包括合同性质、类型、起止时间、签订次数、变更原因等，并能够形成合同台账，合同台账内容可以进行自定义。</w:t>
            </w:r>
          </w:p>
          <w:p w14:paraId="1763E2AF">
            <w:r>
              <w:rPr>
                <w:rFonts w:hint="eastAsia"/>
              </w:rPr>
              <w:t>1.系统可根据不同的合同类型定制合同模板，合同类型包括但不限于劳动合同、劳务合同、保密协议、培训协议、返聘协议、实习协议等。系统可自动生成合同编号，可根据签订内容自动生成完整的合同及协议，系统可对合同或协议的修改提供审批流程。</w:t>
            </w:r>
          </w:p>
          <w:p w14:paraId="733F02FD">
            <w:r>
              <w:rPr>
                <w:rFonts w:hint="eastAsia"/>
              </w:rPr>
              <w:t>2.对合同的签订、续签、变更、终止等业务要能够进行流程审批管理，流程的配置需简单便捷，流程处理结果能够自动归档。</w:t>
            </w:r>
          </w:p>
          <w:p w14:paraId="58C1B06D">
            <w:r>
              <w:rPr>
                <w:rFonts w:hint="eastAsia"/>
              </w:rPr>
              <w:t>3.系统可灵活定义各类常用合同模板，如聘用合同、劳动合同、保密协议、培训协议等，并可以进行批量打印。</w:t>
            </w:r>
          </w:p>
          <w:p w14:paraId="4D18638A">
            <w:r>
              <w:rPr>
                <w:rFonts w:hint="eastAsia"/>
              </w:rPr>
              <w:t>4.基于劳动合同法对合同签订的约束管理。对新员工入职、员工生日，退休管理，合同到期、试用期满、合同到期、解除、续签等信息通过预警平台具有自动提醒功能，实现自动判断提醒应该签订的合同类型及时长。业务人员可根据提醒直接进行相关合同业务办理、短信或邮件通知职工。</w:t>
            </w:r>
          </w:p>
          <w:p w14:paraId="5B33F9FB">
            <w:r>
              <w:rPr>
                <w:rFonts w:hint="eastAsia"/>
              </w:rPr>
              <w:t>5.对各类合同信息能够以图、表的方式，从不同角度进行统计分析，如按照合同类型、合同期限、合同起始日期等不同维度的分析。</w:t>
            </w:r>
          </w:p>
          <w:p w14:paraId="2C64D8C0">
            <w:r>
              <w:rPr>
                <w:rFonts w:hint="eastAsia"/>
              </w:rPr>
              <w:t>6.系统支持合同签订、变更时批量上传或协议的扫描件。</w:t>
            </w:r>
          </w:p>
        </w:tc>
      </w:tr>
      <w:tr w14:paraId="54F6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FDF1323">
            <w:pPr>
              <w:jc w:val="center"/>
            </w:pPr>
            <w:r>
              <w:rPr>
                <w:rFonts w:hint="eastAsia"/>
              </w:rPr>
              <w:t>7</w:t>
            </w:r>
          </w:p>
        </w:tc>
        <w:tc>
          <w:tcPr>
            <w:tcW w:w="1913" w:type="dxa"/>
            <w:vAlign w:val="center"/>
          </w:tcPr>
          <w:p w14:paraId="6B192F48">
            <w:pPr>
              <w:jc w:val="center"/>
              <w:rPr>
                <w:rFonts w:eastAsia="宋体"/>
              </w:rPr>
            </w:pPr>
            <w:r>
              <w:rPr>
                <w:rFonts w:hint="eastAsia"/>
              </w:rPr>
              <w:t>薪资管理</w:t>
            </w:r>
          </w:p>
        </w:tc>
        <w:tc>
          <w:tcPr>
            <w:tcW w:w="6306" w:type="dxa"/>
          </w:tcPr>
          <w:p w14:paraId="49BCEC26">
            <w:r>
              <w:rPr>
                <w:rFonts w:hint="eastAsia"/>
              </w:rPr>
              <w:t>1.薪资标准</w:t>
            </w:r>
          </w:p>
          <w:p w14:paraId="790A29A1">
            <w:r>
              <w:rPr>
                <w:rFonts w:hint="eastAsia"/>
              </w:rPr>
              <w:t>支持定义多套薪资标准，如岗位薪资标准、薪级薪资标准、津补贴标准等。</w:t>
            </w:r>
          </w:p>
          <w:p w14:paraId="14D43179">
            <w:r>
              <w:rPr>
                <w:rFonts w:hint="eastAsia"/>
              </w:rPr>
              <w:t>2.薪资类别</w:t>
            </w:r>
          </w:p>
          <w:p w14:paraId="5AEA11F5">
            <w:r>
              <w:rPr>
                <w:rFonts w:hint="eastAsia"/>
              </w:rPr>
              <w:t>可根据需要灵活定义多套薪资类别，薪资类别内的薪资项目及其计算规则可灵活定义，满足对不同人员或不同业务的薪资核算需要。</w:t>
            </w:r>
          </w:p>
          <w:p w14:paraId="18913C71">
            <w:r>
              <w:rPr>
                <w:rFonts w:hint="eastAsia"/>
              </w:rPr>
              <w:t>3.薪资变动</w:t>
            </w:r>
          </w:p>
          <w:p w14:paraId="1C277BA6">
            <w:r>
              <w:rPr>
                <w:rFonts w:hint="eastAsia"/>
              </w:rPr>
              <w:t>（1）可以根据医院薪资政策灵活制定各种调资业务模板及适用规则，针对不同人员能够实现如确定薪资、转正定级、职务变动、正常晋级、调整标准等各种调资业务，并能够打印输出相关的审批表、汇总表、明细表等。</w:t>
            </w:r>
          </w:p>
          <w:p w14:paraId="39B2BD7C">
            <w:r>
              <w:rPr>
                <w:rFonts w:hint="eastAsia"/>
              </w:rPr>
              <w:t>（2）自动记录职工的薪资变动情况，提供薪资补发补扣，起薪时间等自动处理机制，历次变动情况可以归档备查。</w:t>
            </w:r>
          </w:p>
          <w:p w14:paraId="51A2887F">
            <w:r>
              <w:rPr>
                <w:rFonts w:hint="eastAsia"/>
              </w:rPr>
              <w:t>（3）薪资核算时可引用系统中其他业务模块的数据，如考勤、绩效、奖惩等各项数据。</w:t>
            </w:r>
          </w:p>
          <w:p w14:paraId="206A0396">
            <w:r>
              <w:rPr>
                <w:rFonts w:hint="eastAsia"/>
              </w:rPr>
              <w:t>（4）薪资计算时具有薪资异常计算功能设置，对薪资出现异常时及时进行提醒。</w:t>
            </w:r>
          </w:p>
          <w:p w14:paraId="3E742437">
            <w:r>
              <w:rPr>
                <w:rFonts w:hint="eastAsia"/>
              </w:rPr>
              <w:t>（5）支持数据导入、输入及导出功能。针对薪资计算的原始数据，系统提供多种数据获取的方式：将 EXCEL 文件导入或通过数据采集或取自薪资标准表的方式获取等。</w:t>
            </w:r>
          </w:p>
          <w:p w14:paraId="0899F96A">
            <w:r>
              <w:rPr>
                <w:rFonts w:hint="eastAsia"/>
              </w:rPr>
              <w:t>（6）支持建立多种薪资报表，以及政府部门规定格式的报表，并提供多套薪资类别薪资表。可以按照实际需要，自由设定多个薪资报表的模板；可以自由设定工资单的项目，实现打印工资单、email 发送、职工网上查询、微信企业号查询工资单等多种方式。</w:t>
            </w:r>
          </w:p>
        </w:tc>
      </w:tr>
      <w:tr w14:paraId="7602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BF7D5B3">
            <w:pPr>
              <w:jc w:val="center"/>
            </w:pPr>
            <w:r>
              <w:rPr>
                <w:rFonts w:hint="eastAsia"/>
              </w:rPr>
              <w:t>8</w:t>
            </w:r>
          </w:p>
        </w:tc>
        <w:tc>
          <w:tcPr>
            <w:tcW w:w="1913" w:type="dxa"/>
            <w:vAlign w:val="center"/>
          </w:tcPr>
          <w:p w14:paraId="7043C434">
            <w:pPr>
              <w:jc w:val="center"/>
              <w:rPr>
                <w:rFonts w:eastAsia="宋体"/>
              </w:rPr>
            </w:pPr>
            <w:r>
              <w:rPr>
                <w:rFonts w:hint="eastAsia"/>
              </w:rPr>
              <w:t>职称聘任管理</w:t>
            </w:r>
          </w:p>
        </w:tc>
        <w:tc>
          <w:tcPr>
            <w:tcW w:w="6306" w:type="dxa"/>
          </w:tcPr>
          <w:p w14:paraId="064F1DD7">
            <w:pPr>
              <w:numPr>
                <w:ilvl w:val="0"/>
                <w:numId w:val="0"/>
              </w:numPr>
            </w:pPr>
            <w:r>
              <w:rPr>
                <w:rFonts w:asciiTheme="minorHAnsi" w:hAnsiTheme="minorHAnsi" w:eastAsiaTheme="minorEastAsia" w:cstheme="minorBidi"/>
                <w:kern w:val="2"/>
                <w:sz w:val="21"/>
                <w:szCs w:val="22"/>
                <w:lang w:val="en-US" w:eastAsia="zh-CN" w:bidi="ar-SA"/>
              </w:rPr>
              <w:t>1.</w:t>
            </w:r>
            <w:r>
              <w:rPr>
                <w:rFonts w:hint="eastAsia"/>
              </w:rPr>
              <w:t>聘任方式：支持职称聘任过程的审批流程定义，满足不同级别职称的聘任过程要求。申报过程中所需的各类申报表格式可根据需要自由绘制。能实现在同一竞聘期间内针对不同的人群制定若干套竞聘方案，并逐级填报审核。</w:t>
            </w:r>
          </w:p>
          <w:p w14:paraId="5B92A75B">
            <w:r>
              <w:rPr>
                <w:rFonts w:hint="eastAsia"/>
              </w:rPr>
              <w:t>2.岗位信息发布：根据医院岗位设置和空缺情况，发布岗位竞聘信息，包括岗位名称、职责、任职条件、竞聘方案、打分细则等。可补充发布竞聘规则。</w:t>
            </w:r>
          </w:p>
          <w:p w14:paraId="677560B2">
            <w:r>
              <w:rPr>
                <w:rFonts w:hint="eastAsia"/>
              </w:rPr>
              <w:t>3.在线申报：员工可在线填写职称申报表、简明表等各类材料，申报材料内容可以自动获取个人基本信息，无需重复填写，申报人仅需填写或调整个人申报相关信息，并支持上传各类材料附件。</w:t>
            </w:r>
          </w:p>
          <w:p w14:paraId="5DBBECBF">
            <w:r>
              <w:rPr>
                <w:rFonts w:hint="eastAsia"/>
              </w:rPr>
              <w:t>4.材料审查：支持材料上报及审查流程的灵活定义，人事、科研、培训等职能部门可根据流程权限在系统中进行相关材料审查、打分，系统自动统计考核成绩，生成排名，形成规定格式的汇总名单，满足多部门联合审查应用。</w:t>
            </w:r>
          </w:p>
          <w:p w14:paraId="73E5E958">
            <w:r>
              <w:rPr>
                <w:rFonts w:hint="eastAsia"/>
              </w:rPr>
              <w:t>5.材料公示：竞聘结果在线公示，接受监督。根据上会名单能够形成公示材料，公示内容、时间、公示的对象范围等可根据需要灵活定义。</w:t>
            </w:r>
          </w:p>
          <w:p w14:paraId="46308714">
            <w:r>
              <w:rPr>
                <w:rFonts w:hint="eastAsia"/>
              </w:rPr>
              <w:t>6.上会投票：系统提供专家库管理，对内外部专家进行统一管理，并可通过手工筛选和随机抽取的方式形成不同的评审组，根据不同的评审会议可选择不同的评审组专家。支持同行、学科组、评委会等评审组对申报人员的论文及相关材料进行在线评议，评议表格式可根据需要灵活定义，满足不同评审过程的应用。系统自动随机生成评议账号、密码或二维码，评议专家可随机选取账号，通过电脑、手机等对上会人员的申报材料进行线上评议和投票，后台自动统计投票结果。</w:t>
            </w:r>
          </w:p>
          <w:p w14:paraId="6DE95C2E">
            <w:r>
              <w:rPr>
                <w:rFonts w:hint="eastAsia"/>
              </w:rPr>
              <w:t>7.公示归档：评审结果通过系统进行自动统计，并可形成公示名单与材料，公示内容、时间、公示的对象范围等可根据需要灵活定义。评审结论能够自动入库，提供相关材料的自动输出打印功能,岗位信息发生变化后，系统可自动通知薪资调薪，同时变更后的岗位信息能自动同步到个人基本信息（职称、岗位子集信息处）。</w:t>
            </w:r>
          </w:p>
          <w:p w14:paraId="459312AD">
            <w:pPr>
              <w:pStyle w:val="8"/>
            </w:pPr>
            <w:r>
              <w:rPr>
                <w:rFonts w:hint="eastAsia"/>
              </w:rPr>
              <w:t>8.根据竞聘结果，进行岗位聘任，记录并自动同步聘用岗位、聘用职务、聘用时间等个人基础信息。</w:t>
            </w:r>
          </w:p>
          <w:p w14:paraId="3430EEEE">
            <w:pPr>
              <w:pStyle w:val="8"/>
            </w:pPr>
            <w:r>
              <w:rPr>
                <w:rFonts w:hint="eastAsia"/>
              </w:rPr>
              <w:t>9.建立同行专家评价模块，①建立同行专家库，能分专业、类别自动抽取专家，也可手动调整。②在线申报:员工可在线提交职称评价申请，填写个人信息、工作业绩、科研成果等，并上传相关证明材料。③多级审核:根据同行专家评价流程，设置多级审核（如科室审核、同行专家评价、职称评审委员会等），支持在线审核和审核意见填写。④同行专家评价结果公示:评审结果在线公示，接受监督。</w:t>
            </w:r>
          </w:p>
          <w:p w14:paraId="3AEEB1A2">
            <w:pPr>
              <w:pStyle w:val="8"/>
            </w:pPr>
            <w:r>
              <w:rPr>
                <w:rFonts w:hint="eastAsia"/>
              </w:rPr>
              <w:t>10.用户权限管理：根据不同角色设置系统访问和操作权限。</w:t>
            </w:r>
          </w:p>
          <w:p w14:paraId="01A935C8">
            <w:r>
              <w:rPr>
                <w:rFonts w:hint="eastAsia"/>
              </w:rPr>
              <w:t>11.日志管理：记录系统操作日志，便于追溯和审计。</w:t>
            </w:r>
          </w:p>
        </w:tc>
      </w:tr>
      <w:tr w14:paraId="6561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trPr>
        <w:tc>
          <w:tcPr>
            <w:tcW w:w="709" w:type="dxa"/>
            <w:vAlign w:val="center"/>
          </w:tcPr>
          <w:p w14:paraId="3DE3D6D8">
            <w:pPr>
              <w:jc w:val="center"/>
            </w:pPr>
            <w:r>
              <w:rPr>
                <w:rFonts w:hint="eastAsia"/>
              </w:rPr>
              <w:t>9</w:t>
            </w:r>
          </w:p>
        </w:tc>
        <w:tc>
          <w:tcPr>
            <w:tcW w:w="1913" w:type="dxa"/>
            <w:vAlign w:val="center"/>
          </w:tcPr>
          <w:p w14:paraId="5CC4A195">
            <w:pPr>
              <w:jc w:val="center"/>
            </w:pPr>
            <w:r>
              <w:rPr>
                <w:rFonts w:hint="eastAsia"/>
              </w:rPr>
              <w:t>考核管理</w:t>
            </w:r>
          </w:p>
        </w:tc>
        <w:tc>
          <w:tcPr>
            <w:tcW w:w="6306" w:type="dxa"/>
          </w:tcPr>
          <w:p w14:paraId="3F143F22">
            <w:r>
              <w:rPr>
                <w:rFonts w:hint="eastAsia"/>
              </w:rPr>
              <w:t>1.建立年度考核模块和定期考核模块。</w:t>
            </w:r>
          </w:p>
          <w:p w14:paraId="433A398F">
            <w:r>
              <w:rPr>
                <w:rFonts w:hint="eastAsia"/>
              </w:rPr>
              <w:t>2.年度考核：①根据全院人员数据，录入公式及规则后，自动核算年度考核指标。②批量导入考核结果，考核结果在线公示。③考核结果同步到个人基础信息，个人能查阅年度考核结果。④录入年度考核表格模版，职工填写内容后自动生成年度考核表格并能实现导入、导出功能。</w:t>
            </w:r>
          </w:p>
          <w:p w14:paraId="75A06783">
            <w:r>
              <w:rPr>
                <w:rFonts w:hint="eastAsia"/>
              </w:rPr>
              <w:t>3.定期奖励：①根据全院人员数据，录入公式及规则后，自动核算定期奖励考核指标。②批量录入考核结果，考核结果在线公示。③奖励结果同步到个人基础信息，个人能查阅。④录入定期考核表格模版，奖励人员填写内容后自动生成定期考核表格并能实现导入、导出功能。</w:t>
            </w:r>
          </w:p>
        </w:tc>
      </w:tr>
      <w:tr w14:paraId="4BF5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1" w:hRule="atLeast"/>
        </w:trPr>
        <w:tc>
          <w:tcPr>
            <w:tcW w:w="709" w:type="dxa"/>
            <w:vAlign w:val="center"/>
          </w:tcPr>
          <w:p w14:paraId="70E7BA99">
            <w:pPr>
              <w:jc w:val="center"/>
            </w:pPr>
            <w:r>
              <w:rPr>
                <w:rFonts w:hint="eastAsia"/>
              </w:rPr>
              <w:t>10</w:t>
            </w:r>
          </w:p>
        </w:tc>
        <w:tc>
          <w:tcPr>
            <w:tcW w:w="1913" w:type="dxa"/>
            <w:shd w:val="clear" w:color="auto" w:fill="auto"/>
            <w:vAlign w:val="center"/>
          </w:tcPr>
          <w:p w14:paraId="46AF4E1C">
            <w:pPr>
              <w:jc w:val="center"/>
            </w:pPr>
            <w:r>
              <w:rPr>
                <w:rFonts w:hint="eastAsia"/>
              </w:rPr>
              <w:t>出国（境）管理</w:t>
            </w:r>
          </w:p>
        </w:tc>
        <w:tc>
          <w:tcPr>
            <w:tcW w:w="6306" w:type="dxa"/>
            <w:shd w:val="clear" w:color="auto" w:fill="auto"/>
          </w:tcPr>
          <w:p w14:paraId="5894E035">
            <w:r>
              <w:rPr>
                <w:rFonts w:hint="eastAsia"/>
              </w:rPr>
              <w:t>1.基础信息管理：员工信息，自动同步员工基本信息（姓名、工号、部门科室、职称等）。</w:t>
            </w:r>
          </w:p>
          <w:p w14:paraId="7CDF012A">
            <w:r>
              <w:rPr>
                <w:rFonts w:hint="eastAsia"/>
              </w:rPr>
              <w:t>2.护照/港澳通行证信息:支持录入、更新、查询员工的护照/港澳通行证信息（证件号、有效期、签发地等），支持上传附件。</w:t>
            </w:r>
          </w:p>
          <w:p w14:paraId="5081E86E">
            <w:r>
              <w:rPr>
                <w:rFonts w:hint="eastAsia"/>
              </w:rPr>
              <w:t>3.签证信息:支持录入、更新、查询员工的签证信息（签证类型、有效期、签发国家等）。</w:t>
            </w:r>
          </w:p>
          <w:p w14:paraId="77D6DD6D">
            <w:r>
              <w:rPr>
                <w:rFonts w:hint="eastAsia"/>
              </w:rPr>
              <w:t>4.出国（境）申请与审批。①在线申请:员工可在线填写出国（境）申请表，包括事由、时间、目的地、经费来源等，并上传相关证明材料。</w:t>
            </w:r>
          </w:p>
          <w:p w14:paraId="755609B2">
            <w:r>
              <w:rPr>
                <w:rFonts w:hint="eastAsia"/>
              </w:rPr>
              <w:t>②多级审批:根据医院制度，设置多级审批流程（如科室主任、组织人事部、院领导等），支持在线审批和审批意见填写。</w:t>
            </w:r>
          </w:p>
          <w:p w14:paraId="108255CB">
            <w:r>
              <w:rPr>
                <w:rFonts w:hint="eastAsia"/>
              </w:rPr>
              <w:t>③审批进度查询:员工可实时查看申请进度和审批意见。</w:t>
            </w:r>
          </w:p>
          <w:p w14:paraId="020072CC">
            <w:r>
              <w:rPr>
                <w:rFonts w:hint="eastAsia"/>
              </w:rPr>
              <w:t>5.出国（境）备案与登记：①备案信息:支持录入、更新、查询员工的出国（境）备案信息（时间、地点、事由等）。</w:t>
            </w:r>
          </w:p>
          <w:p w14:paraId="310C7094">
            <w:r>
              <w:rPr>
                <w:rFonts w:hint="eastAsia"/>
              </w:rPr>
              <w:t>②归国登记:员工归国后需在线登记归国时间、行程等信息，并上传相关证明材料。</w:t>
            </w:r>
          </w:p>
          <w:p w14:paraId="56CCF161">
            <w:r>
              <w:rPr>
                <w:rFonts w:hint="eastAsia"/>
              </w:rPr>
              <w:t>③因公护照、签证申报资料上传系统备案。</w:t>
            </w:r>
          </w:p>
          <w:p w14:paraId="55F19577">
            <w:r>
              <w:rPr>
                <w:rFonts w:hint="eastAsia"/>
              </w:rPr>
              <w:t>6.数据统计与分析：①数据统计:支持按部门、时间、事由等条件统计出国（境）人数、次数等信息。</w:t>
            </w:r>
          </w:p>
          <w:p w14:paraId="66E98F8A">
            <w:r>
              <w:rPr>
                <w:rFonts w:hint="eastAsia"/>
              </w:rPr>
              <w:t>②数据分析:提供可视化图表，分析出国（境）趋势、人员构成等，为决策提供依据。</w:t>
            </w:r>
          </w:p>
          <w:p w14:paraId="622B0FDE">
            <w:r>
              <w:rPr>
                <w:rFonts w:hint="eastAsia"/>
              </w:rPr>
              <w:t>7.系统管理：①用户权限管理：根据不同角色设置系统访问和操作权限。</w:t>
            </w:r>
            <w:r>
              <w:rPr>
                <w:rFonts w:hint="eastAsia"/>
              </w:rPr>
              <w:br w:type="textWrapping"/>
            </w:r>
            <w:r>
              <w:rPr>
                <w:rFonts w:hint="eastAsia"/>
              </w:rPr>
              <w:t>②日志管理:记录系统操作日志，便于追溯和审计。</w:t>
            </w:r>
          </w:p>
        </w:tc>
      </w:tr>
      <w:tr w14:paraId="4AB3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39CB26E">
            <w:pPr>
              <w:jc w:val="center"/>
            </w:pPr>
            <w:r>
              <w:rPr>
                <w:rFonts w:hint="eastAsia"/>
              </w:rPr>
              <w:t>11</w:t>
            </w:r>
          </w:p>
        </w:tc>
        <w:tc>
          <w:tcPr>
            <w:tcW w:w="1913" w:type="dxa"/>
            <w:vAlign w:val="center"/>
          </w:tcPr>
          <w:p w14:paraId="473DA34B">
            <w:pPr>
              <w:jc w:val="center"/>
              <w:rPr>
                <w:rFonts w:eastAsia="宋体"/>
              </w:rPr>
            </w:pPr>
            <w:r>
              <w:rPr>
                <w:rFonts w:hint="eastAsia"/>
              </w:rPr>
              <w:t>自助服务</w:t>
            </w:r>
          </w:p>
        </w:tc>
        <w:tc>
          <w:tcPr>
            <w:tcW w:w="6306" w:type="dxa"/>
          </w:tcPr>
          <w:p w14:paraId="4600D9A2">
            <w:r>
              <w:rPr>
                <w:rFonts w:hint="eastAsia"/>
              </w:rPr>
              <w:t>1.HR自助/领导桌面</w:t>
            </w:r>
          </w:p>
          <w:p w14:paraId="035B6BD7">
            <w:r>
              <w:rPr>
                <w:rFonts w:hint="eastAsia"/>
              </w:rPr>
              <w:t>（1）组织机构：支持多维度查询组织结构</w:t>
            </w:r>
          </w:p>
          <w:p w14:paraId="71AD2BF5">
            <w:r>
              <w:rPr>
                <w:rFonts w:hint="eastAsia"/>
              </w:rPr>
              <w:t>（2）岗位编制：可查询实际岗位体系和岗位说明书，可查询编制状况，实时掌握编制占用情况</w:t>
            </w:r>
          </w:p>
          <w:p w14:paraId="3131A47C">
            <w:r>
              <w:rPr>
                <w:rFonts w:hint="eastAsia"/>
              </w:rPr>
              <w:t>（3）人员信息：可查询员工基本信息、异动信息等（可查询的人员范围和信息内容通过授权加以限制）</w:t>
            </w:r>
          </w:p>
          <w:p w14:paraId="4590B3EF">
            <w:r>
              <w:rPr>
                <w:rFonts w:hint="eastAsia"/>
              </w:rPr>
              <w:t>（4）薪酬：可查询年度薪酬总额及分月薪酬发放情况，可查询薪酬发放比例和个人及下属的历史薪酬和福利等信息 ，并提供二次密码查询个人薪酬功能。</w:t>
            </w:r>
          </w:p>
          <w:p w14:paraId="0FD844A2">
            <w:r>
              <w:rPr>
                <w:rFonts w:hint="eastAsia"/>
              </w:rPr>
              <w:t>（5）考勤：可查询下属的排班、休假、考勤信息，可实时了解部门人员出勤情况，汇总查询已休假期情况和假期余额；可查询下属的历史考勤记录。</w:t>
            </w:r>
          </w:p>
          <w:p w14:paraId="3A8798A5">
            <w:r>
              <w:rPr>
                <w:rFonts w:hint="eastAsia"/>
              </w:rPr>
              <w:t>（6）报表：全院基本数据桌面。支持按权限查询各类人力资源报表。</w:t>
            </w:r>
          </w:p>
          <w:p w14:paraId="3648F1D1">
            <w:r>
              <w:rPr>
                <w:rFonts w:hint="eastAsia"/>
              </w:rPr>
              <w:t>（7）各类审批流程提醒业务：支持按已办已结、已办未结、待办事项等分类查询相关流程及处理意见。</w:t>
            </w:r>
          </w:p>
          <w:p w14:paraId="60DA39FA">
            <w:r>
              <w:rPr>
                <w:rFonts w:hint="eastAsia"/>
              </w:rPr>
              <w:t>2.员工自助</w:t>
            </w:r>
          </w:p>
          <w:p w14:paraId="4E1CBCAC">
            <w:r>
              <w:rPr>
                <w:rFonts w:hint="eastAsia"/>
              </w:rPr>
              <w:t>（1）职位：可查询本人职位信息</w:t>
            </w:r>
          </w:p>
          <w:p w14:paraId="30767DD3">
            <w:r>
              <w:rPr>
                <w:rFonts w:hint="eastAsia"/>
              </w:rPr>
              <w:t>（2）个人信息：可查询个人基本信息、异动信息等；可在权限范围内更新个人基本信息，更新信息经审核后写入系统；可在权限范围内查询他人基本信息。</w:t>
            </w:r>
          </w:p>
          <w:p w14:paraId="0718CACA">
            <w:pPr>
              <w:rPr>
                <w:color w:val="000000" w:themeColor="text1"/>
                <w14:textFill>
                  <w14:solidFill>
                    <w14:schemeClr w14:val="tx1"/>
                  </w14:solidFill>
                </w14:textFill>
              </w:rPr>
            </w:pPr>
            <w:r>
              <w:rPr>
                <w:rFonts w:hint="eastAsia"/>
                <w:color w:val="000000" w:themeColor="text1"/>
                <w14:textFill>
                  <w14:solidFill>
                    <w14:schemeClr w14:val="tx1"/>
                  </w14:solidFill>
                </w14:textFill>
              </w:rPr>
              <w:t>（3）薪酬：支持员工自助查询工资详单、个人年度及历史薪酬台账、福利等信息，并提供二次密码查询个人薪酬功能。</w:t>
            </w:r>
          </w:p>
          <w:p w14:paraId="62D8CDF5">
            <w:r>
              <w:rPr>
                <w:rFonts w:hint="eastAsia"/>
              </w:rPr>
              <w:t>（4）考勤;支持自助平台请销假、加班、出差、补签等；可查询个人排班、休假、考勤信息，汇总查询已休假期情况和假期余额；可查询个人历史考勤记录。</w:t>
            </w:r>
          </w:p>
          <w:p w14:paraId="29F8D843">
            <w:r>
              <w:rPr>
                <w:rFonts w:hint="eastAsia"/>
              </w:rPr>
              <w:t>（5）流程：可按已办已结、已办未结、待办事项等分类查询相关流程及处理意见。</w:t>
            </w:r>
          </w:p>
          <w:p w14:paraId="229B4412">
            <w:r>
              <w:rPr>
                <w:rFonts w:hint="eastAsia"/>
              </w:rPr>
              <w:t>（6）提交材料：在线填写调查问卷、工作总结、述职报告、培训总结、考核表等，支持多种格式的附件上传，允许用户在一定范围内的用户中选择发送对象。</w:t>
            </w:r>
          </w:p>
          <w:p w14:paraId="1EDBEC7B">
            <w:r>
              <w:rPr>
                <w:rFonts w:hint="eastAsia"/>
              </w:rPr>
              <w:t>（7）申请开具各类证明：如收入证明、在职证明、职称证明、因私出国旅游申请（系统中已内置常用模板，包括申请单和证明，开具证明编号，套装等）均可以通过员工自助端自主办理。</w:t>
            </w:r>
          </w:p>
          <w:p w14:paraId="18190C4E">
            <w:pPr>
              <w:rPr>
                <w:rFonts w:eastAsia="宋体"/>
              </w:rPr>
            </w:pPr>
            <w:r>
              <w:rPr>
                <w:rFonts w:hint="eastAsia"/>
              </w:rPr>
              <w:t>（8）推送功能：可将查询数据、统计数据、筛选数据等以表格、图形的形式推送到部门领导或领导桌面。（设置推送权限）。</w:t>
            </w:r>
          </w:p>
        </w:tc>
      </w:tr>
      <w:tr w14:paraId="2B30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38D546E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1913" w:type="dxa"/>
            <w:shd w:val="clear" w:color="auto" w:fill="auto"/>
            <w:vAlign w:val="center"/>
          </w:tcPr>
          <w:p w14:paraId="79E63C1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医德医风管理</w:t>
            </w:r>
          </w:p>
        </w:tc>
        <w:tc>
          <w:tcPr>
            <w:tcW w:w="6306" w:type="dxa"/>
            <w:shd w:val="clear" w:color="auto" w:fill="auto"/>
          </w:tcPr>
          <w:p w14:paraId="5C50901F">
            <w:pPr>
              <w:pStyle w:val="8"/>
              <w:rPr>
                <w:color w:val="000000" w:themeColor="text1"/>
                <w14:textFill>
                  <w14:solidFill>
                    <w14:schemeClr w14:val="tx1"/>
                  </w14:solidFill>
                </w14:textFill>
              </w:rPr>
            </w:pPr>
            <w:r>
              <w:rPr>
                <w:rFonts w:hint="eastAsia"/>
                <w:color w:val="000000" w:themeColor="text1"/>
                <w14:textFill>
                  <w14:solidFill>
                    <w14:schemeClr w14:val="tx1"/>
                  </w14:solidFill>
                </w14:textFill>
              </w:rPr>
              <w:t>1.建立医德医风年度考评模块，可设置和维护医德医风考评标准，系统中所有管理对象可根据考评标准进行年度自评，个人可查阅历年医德医风考评结果。</w:t>
            </w:r>
          </w:p>
          <w:p w14:paraId="681EF57E">
            <w:pPr>
              <w:pStyle w:val="8"/>
              <w:rPr>
                <w:color w:val="000000" w:themeColor="text1"/>
                <w14:textFill>
                  <w14:solidFill>
                    <w14:schemeClr w14:val="tx1"/>
                  </w14:solidFill>
                </w14:textFill>
              </w:rPr>
            </w:pPr>
            <w:r>
              <w:rPr>
                <w:rFonts w:hint="eastAsia"/>
                <w:color w:val="000000" w:themeColor="text1"/>
                <w14:textFill>
                  <w14:solidFill>
                    <w14:schemeClr w14:val="tx1"/>
                  </w14:solidFill>
                </w14:textFill>
              </w:rPr>
              <w:t>2.建立医德医风档案模块，对系统中所有管理对象进行医德医风日常管理，记录对象日常医德医风行为，年度自评结果同步到医德医风档案，生成年度医德医风情况并导出。</w:t>
            </w:r>
          </w:p>
          <w:p w14:paraId="119D07FF">
            <w:pPr>
              <w:pStyle w:val="8"/>
              <w:rPr>
                <w:color w:val="000000" w:themeColor="text1"/>
                <w14:textFill>
                  <w14:solidFill>
                    <w14:schemeClr w14:val="tx1"/>
                  </w14:solidFill>
                </w14:textFill>
              </w:rPr>
            </w:pPr>
            <w:r>
              <w:rPr>
                <w:rFonts w:hint="eastAsia"/>
                <w:color w:val="000000" w:themeColor="text1"/>
                <w14:textFill>
                  <w14:solidFill>
                    <w14:schemeClr w14:val="tx1"/>
                  </w14:solidFill>
                </w14:textFill>
              </w:rPr>
              <w:t>3.以上2项模块均可设置院级、科级管理权限，并可根据权限等级导入、导出数据，院级管理权限可调取、查阅、修改、审核和汇总所有员工医德医风考评信息和医德医风档案信息；科级管理权限可调取、查阅、修改、审核和汇总本科室员工医德医风考评信息和医德医风档案信息。</w:t>
            </w:r>
          </w:p>
        </w:tc>
      </w:tr>
      <w:tr w14:paraId="6227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2E9770D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13</w:t>
            </w:r>
          </w:p>
        </w:tc>
        <w:tc>
          <w:tcPr>
            <w:tcW w:w="1913" w:type="dxa"/>
            <w:shd w:val="clear" w:color="auto" w:fill="auto"/>
            <w:vAlign w:val="center"/>
          </w:tcPr>
          <w:p w14:paraId="02050C2D">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个人专业技术档案管理</w:t>
            </w:r>
          </w:p>
        </w:tc>
        <w:tc>
          <w:tcPr>
            <w:tcW w:w="6306" w:type="dxa"/>
            <w:shd w:val="clear" w:color="auto" w:fill="auto"/>
          </w:tcPr>
          <w:p w14:paraId="1BB31645">
            <w:pPr>
              <w:rPr>
                <w:color w:val="000000" w:themeColor="text1"/>
                <w14:textFill>
                  <w14:solidFill>
                    <w14:schemeClr w14:val="tx1"/>
                  </w14:solidFill>
                </w14:textFill>
              </w:rPr>
            </w:pPr>
            <w:r>
              <w:rPr>
                <w:rFonts w:hint="eastAsia"/>
                <w:color w:val="000000" w:themeColor="text1"/>
                <w14:textFill>
                  <w14:solidFill>
                    <w14:schemeClr w14:val="tx1"/>
                  </w14:solidFill>
                </w14:textFill>
              </w:rPr>
              <w:t>1.建立医务人员个人专业技术档案管理模块，可调取：</w:t>
            </w:r>
          </w:p>
          <w:p w14:paraId="175B74FF">
            <w:pPr>
              <w:rPr>
                <w:color w:val="000000" w:themeColor="text1"/>
                <w14:textFill>
                  <w14:solidFill>
                    <w14:schemeClr w14:val="tx1"/>
                  </w14:solidFill>
                </w14:textFill>
              </w:rPr>
            </w:pPr>
            <w:r>
              <w:rPr>
                <w:rFonts w:hint="eastAsia"/>
                <w:color w:val="000000" w:themeColor="text1"/>
                <w14:textFill>
                  <w14:solidFill>
                    <w14:schemeClr w14:val="tx1"/>
                  </w14:solidFill>
                </w14:textFill>
              </w:rPr>
              <w:t>（1）基本信息</w:t>
            </w:r>
            <w:r>
              <w:rPr>
                <w:color w:val="000000" w:themeColor="text1"/>
                <w14:textFill>
                  <w14:solidFill>
                    <w14:schemeClr w14:val="tx1"/>
                  </w14:solidFill>
                </w14:textFill>
              </w:rPr>
              <w:t>‌：包括姓名、性别、出生日期、</w:t>
            </w:r>
            <w:r>
              <w:rPr>
                <w:rFonts w:hint="eastAsia"/>
                <w:color w:val="000000" w:themeColor="text1"/>
                <w14:textFill>
                  <w14:solidFill>
                    <w14:schemeClr w14:val="tx1"/>
                  </w14:solidFill>
                </w14:textFill>
              </w:rPr>
              <w:t>身份证号、政治面貌、</w:t>
            </w:r>
            <w:r>
              <w:rPr>
                <w:color w:val="000000" w:themeColor="text1"/>
                <w14:textFill>
                  <w14:solidFill>
                    <w14:schemeClr w14:val="tx1"/>
                  </w14:solidFill>
                </w14:textFill>
              </w:rPr>
              <w:t>联系方式</w:t>
            </w:r>
            <w:r>
              <w:rPr>
                <w:rFonts w:hint="eastAsia"/>
                <w:color w:val="000000" w:themeColor="text1"/>
                <w14:textFill>
                  <w14:solidFill>
                    <w14:schemeClr w14:val="tx1"/>
                  </w14:solidFill>
                </w14:textFill>
              </w:rPr>
              <w:t>、照片</w:t>
            </w:r>
            <w:r>
              <w:rPr>
                <w:color w:val="000000" w:themeColor="text1"/>
                <w14:textFill>
                  <w14:solidFill>
                    <w14:schemeClr w14:val="tx1"/>
                  </w14:solidFill>
                </w14:textFill>
              </w:rPr>
              <w:t>等。</w:t>
            </w:r>
          </w:p>
          <w:p w14:paraId="64E3AC10">
            <w:pP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‌教育背景‌：包括学历（学士、硕士、博士等）、专业、学位、毕业院校等。</w:t>
            </w:r>
          </w:p>
          <w:p w14:paraId="3B428A5C">
            <w:pPr>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‌专业认证‌：包括执业</w:t>
            </w:r>
            <w:r>
              <w:rPr>
                <w:rFonts w:hint="eastAsia"/>
                <w:color w:val="000000" w:themeColor="text1"/>
                <w14:textFill>
                  <w14:solidFill>
                    <w14:schemeClr w14:val="tx1"/>
                  </w14:solidFill>
                </w14:textFill>
              </w:rPr>
              <w:t>资格、技术职称，及取得时间等信息</w:t>
            </w:r>
            <w:r>
              <w:rPr>
                <w:color w:val="000000" w:themeColor="text1"/>
                <w14:textFill>
                  <w14:solidFill>
                    <w14:schemeClr w14:val="tx1"/>
                  </w14:solidFill>
                </w14:textFill>
              </w:rPr>
              <w:t>。</w:t>
            </w:r>
          </w:p>
          <w:p w14:paraId="19186A3D">
            <w:pPr>
              <w:rPr>
                <w:color w:val="000000" w:themeColor="text1"/>
                <w14:textFill>
                  <w14:solidFill>
                    <w14:schemeClr w14:val="tx1"/>
                  </w14:solidFill>
                </w14:textFill>
              </w:rPr>
            </w:pPr>
            <w:r>
              <w:rPr>
                <w:rFonts w:hint="eastAsia"/>
                <w:color w:val="000000" w:themeColor="text1"/>
                <w14:textFill>
                  <w14:solidFill>
                    <w14:schemeClr w14:val="tx1"/>
                  </w14:solidFill>
                </w14:textFill>
              </w:rPr>
              <w:t>新增内容：</w:t>
            </w:r>
          </w:p>
          <w:p w14:paraId="4A1C28AC">
            <w:pPr>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‌培训记录‌：包括参加的培训课程、获得的证书、培训时间等。</w:t>
            </w:r>
          </w:p>
          <w:p w14:paraId="1CEB8F56">
            <w:pP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‌医疗活动权限‌：包括医疗技术资质认定情况、</w:t>
            </w:r>
            <w:r>
              <w:rPr>
                <w:rFonts w:hint="eastAsia"/>
                <w:color w:val="000000" w:themeColor="text1"/>
                <w14:textFill>
                  <w14:solidFill>
                    <w14:schemeClr w14:val="tx1"/>
                  </w14:solidFill>
                </w14:textFill>
              </w:rPr>
              <w:t>新技术开展情况、手术医师</w:t>
            </w:r>
            <w:r>
              <w:rPr>
                <w:color w:val="000000" w:themeColor="text1"/>
                <w14:textFill>
                  <w14:solidFill>
                    <w14:schemeClr w14:val="tx1"/>
                  </w14:solidFill>
                </w14:textFill>
              </w:rPr>
              <w:t>手术权限认定</w:t>
            </w:r>
            <w:r>
              <w:rPr>
                <w:rFonts w:hint="eastAsia"/>
                <w:color w:val="000000" w:themeColor="text1"/>
                <w14:textFill>
                  <w14:solidFill>
                    <w14:schemeClr w14:val="tx1"/>
                  </w14:solidFill>
                </w14:textFill>
              </w:rPr>
              <w:t>、手术医师技术能力评估结果</w:t>
            </w:r>
            <w:r>
              <w:rPr>
                <w:color w:val="000000" w:themeColor="text1"/>
                <w14:textFill>
                  <w14:solidFill>
                    <w14:schemeClr w14:val="tx1"/>
                  </w14:solidFill>
                </w14:textFill>
              </w:rPr>
              <w:t>等‌。‌</w:t>
            </w:r>
          </w:p>
          <w:p w14:paraId="6BBE22B5">
            <w:pPr>
              <w:pStyle w:val="8"/>
              <w:rPr>
                <w:color w:val="000000" w:themeColor="text1"/>
                <w14:textFill>
                  <w14:solidFill>
                    <w14:schemeClr w14:val="tx1"/>
                  </w14:solidFill>
                </w14:textFill>
              </w:rPr>
            </w:pPr>
          </w:p>
          <w:p w14:paraId="4CDE50FD">
            <w:pPr>
              <w:pStyle w:val="8"/>
              <w:rPr>
                <w:color w:val="000000" w:themeColor="text1"/>
                <w14:textFill>
                  <w14:solidFill>
                    <w14:schemeClr w14:val="tx1"/>
                  </w14:solidFill>
                </w14:textFill>
              </w:rPr>
            </w:pPr>
            <w:r>
              <w:rPr>
                <w:rFonts w:hint="eastAsia"/>
                <w:color w:val="000000" w:themeColor="text1"/>
                <w14:textFill>
                  <w14:solidFill>
                    <w14:schemeClr w14:val="tx1"/>
                  </w14:solidFill>
                </w14:textFill>
              </w:rPr>
              <w:t>2.支持数据的更新，包括个人信息维护（需科室审核）及职能部门统一维护。支持相关文件的上传及下载。支持数据的查阅、导出及打印</w:t>
            </w:r>
          </w:p>
        </w:tc>
      </w:tr>
      <w:tr w14:paraId="5A36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auto"/>
            <w:vAlign w:val="center"/>
          </w:tcPr>
          <w:p w14:paraId="5EAF761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14</w:t>
            </w:r>
          </w:p>
        </w:tc>
        <w:tc>
          <w:tcPr>
            <w:tcW w:w="1913" w:type="dxa"/>
            <w:shd w:val="clear" w:color="auto" w:fill="auto"/>
            <w:vAlign w:val="center"/>
          </w:tcPr>
          <w:p w14:paraId="58C7183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优质服务管理</w:t>
            </w:r>
          </w:p>
        </w:tc>
        <w:tc>
          <w:tcPr>
            <w:tcW w:w="6306" w:type="dxa"/>
            <w:shd w:val="clear" w:color="auto" w:fill="auto"/>
          </w:tcPr>
          <w:p w14:paraId="3677B6EC">
            <w:pPr>
              <w:pStyle w:val="8"/>
              <w:rPr>
                <w:color w:val="000000" w:themeColor="text1"/>
                <w14:textFill>
                  <w14:solidFill>
                    <w14:schemeClr w14:val="tx1"/>
                  </w14:solidFill>
                </w14:textFill>
              </w:rPr>
            </w:pPr>
            <w:r>
              <w:rPr>
                <w:rFonts w:hint="eastAsia"/>
                <w:color w:val="000000" w:themeColor="text1"/>
                <w14:textFill>
                  <w14:solidFill>
                    <w14:schemeClr w14:val="tx1"/>
                  </w14:solidFill>
                </w14:textFill>
              </w:rPr>
              <w:t>1.建立投诉及表扬考评档案模块，可设置和维护投诉及表扬考评标准，支持对接企业微信（或内网）投诉审批流程系统、支持读取相应各项报表，所有管理对象可查阅历年考评结果。</w:t>
            </w:r>
          </w:p>
          <w:p w14:paraId="70A24B62">
            <w:pPr>
              <w:pStyle w:val="8"/>
              <w:rPr>
                <w:color w:val="000000" w:themeColor="text1"/>
                <w14:textFill>
                  <w14:solidFill>
                    <w14:schemeClr w14:val="tx1"/>
                  </w14:solidFill>
                </w14:textFill>
              </w:rPr>
            </w:pPr>
            <w:r>
              <w:rPr>
                <w:rFonts w:hint="eastAsia"/>
                <w:color w:val="000000" w:themeColor="text1"/>
                <w14:textFill>
                  <w14:solidFill>
                    <w14:schemeClr w14:val="tx1"/>
                  </w14:solidFill>
                </w14:textFill>
              </w:rPr>
              <w:t>2.建立回访满意度调查档案模块，可设置和维护考评标准，对接医院AI满意度回访系统、支持读取相应各项报表提取相应数据。</w:t>
            </w:r>
          </w:p>
          <w:p w14:paraId="0AC3770F">
            <w:pPr>
              <w:pStyle w:val="8"/>
              <w:rPr>
                <w:color w:val="000000" w:themeColor="text1"/>
                <w14:textFill>
                  <w14:solidFill>
                    <w14:schemeClr w14:val="tx1"/>
                  </w14:solidFill>
                </w14:textFill>
              </w:rPr>
            </w:pPr>
            <w:r>
              <w:rPr>
                <w:rFonts w:hint="eastAsia"/>
                <w:color w:val="000000" w:themeColor="text1"/>
                <w14:textFill>
                  <w14:solidFill>
                    <w14:schemeClr w14:val="tx1"/>
                  </w14:solidFill>
                </w14:textFill>
              </w:rPr>
              <w:t>3.建立优质服务管理考评模块，可设置和维护考评标准，支持读取相应各项报表提取相应数据。</w:t>
            </w:r>
          </w:p>
          <w:p w14:paraId="7D2FC82A">
            <w:pPr>
              <w:pStyle w:val="8"/>
              <w:rPr>
                <w:color w:val="000000" w:themeColor="text1"/>
                <w14:textFill>
                  <w14:solidFill>
                    <w14:schemeClr w14:val="tx1"/>
                  </w14:solidFill>
                </w14:textFill>
              </w:rPr>
            </w:pPr>
            <w:r>
              <w:rPr>
                <w:rFonts w:hint="eastAsia"/>
                <w:color w:val="000000" w:themeColor="text1"/>
                <w14:textFill>
                  <w14:solidFill>
                    <w14:schemeClr w14:val="tx1"/>
                  </w14:solidFill>
                </w14:textFill>
              </w:rPr>
              <w:t>3.以上3项模块均可设置院级、科级管理权限，并可根据权限等级导入、导出数据，院级管理权限可调取、查阅、修改、审核和汇总所有员工档案信息；科级管理权限可调取、查阅、修改、审核和汇总本科室档案信息。</w:t>
            </w:r>
          </w:p>
        </w:tc>
      </w:tr>
      <w:tr w14:paraId="0688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5FB65F0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1913" w:type="dxa"/>
            <w:shd w:val="clear" w:color="auto" w:fill="auto"/>
            <w:vAlign w:val="center"/>
          </w:tcPr>
          <w:p w14:paraId="5DD1305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科研成果管理</w:t>
            </w:r>
          </w:p>
        </w:tc>
        <w:tc>
          <w:tcPr>
            <w:tcW w:w="6306" w:type="dxa"/>
            <w:shd w:val="clear" w:color="auto" w:fill="auto"/>
          </w:tcPr>
          <w:p w14:paraId="177E05AB">
            <w:pPr>
              <w:pStyle w:val="8"/>
              <w:rPr>
                <w:color w:val="000000" w:themeColor="text1"/>
                <w14:textFill>
                  <w14:solidFill>
                    <w14:schemeClr w14:val="tx1"/>
                  </w14:solidFill>
                </w14:textFill>
              </w:rPr>
            </w:pPr>
            <w:r>
              <w:rPr>
                <w:rFonts w:hint="eastAsia"/>
                <w:color w:val="000000" w:themeColor="text1"/>
                <w14:textFill>
                  <w14:solidFill>
                    <w14:schemeClr w14:val="tx1"/>
                  </w14:solidFill>
                </w14:textFill>
              </w:rPr>
              <w:t>系统需包含医院工作人员科研简历管理功能，支持个人账户填报相关科研信息，并支持相关附件上传，管理科室账户具有查阅、批量导出表格、下载附件等功能。</w:t>
            </w:r>
          </w:p>
          <w:p w14:paraId="64651C91">
            <w:pPr>
              <w:pStyle w:val="8"/>
              <w:rPr>
                <w:color w:val="000000" w:themeColor="text1"/>
                <w14:textFill>
                  <w14:solidFill>
                    <w14:schemeClr w14:val="tx1"/>
                  </w14:solidFill>
                </w14:textFill>
              </w:rPr>
            </w:pPr>
            <w:r>
              <w:rPr>
                <w:rFonts w:hint="eastAsia"/>
                <w:color w:val="000000" w:themeColor="text1"/>
                <w14:textFill>
                  <w14:solidFill>
                    <w14:schemeClr w14:val="tx1"/>
                  </w14:solidFill>
                </w14:textFill>
              </w:rPr>
              <w:t>1、科研项目管理：包括承担角色（项目负责人、第一主研人、第二主研人、第三主研人、其它）、项目名称、项目来源、项目经费、项目立项年度、项目执行周期、项目状态（已结题、在研、超期）等，支持上传项目立项附件；</w:t>
            </w:r>
          </w:p>
          <w:p w14:paraId="6732D40C">
            <w:pPr>
              <w:pStyle w:val="8"/>
              <w:rPr>
                <w:color w:val="000000" w:themeColor="text1"/>
                <w14:textFill>
                  <w14:solidFill>
                    <w14:schemeClr w14:val="tx1"/>
                  </w14:solidFill>
                </w14:textFill>
              </w:rPr>
            </w:pPr>
            <w:r>
              <w:rPr>
                <w:rFonts w:hint="eastAsia"/>
                <w:color w:val="000000" w:themeColor="text1"/>
                <w14:textFill>
                  <w14:solidFill>
                    <w14:schemeClr w14:val="tx1"/>
                  </w14:solidFill>
                </w14:textFill>
              </w:rPr>
              <w:t>2、专利管理：包括专利类别（发明专利、实用新型专利、外观设计）、发明人顺序、申请人（单位）、专利授权号，授权时间，支持上传专利证书附件；</w:t>
            </w:r>
          </w:p>
          <w:p w14:paraId="4662C723">
            <w:pPr>
              <w:pStyle w:val="8"/>
              <w:rPr>
                <w:color w:val="000000" w:themeColor="text1"/>
                <w14:textFill>
                  <w14:solidFill>
                    <w14:schemeClr w14:val="tx1"/>
                  </w14:solidFill>
                </w14:textFill>
              </w:rPr>
            </w:pPr>
            <w:r>
              <w:rPr>
                <w:rFonts w:hint="eastAsia"/>
                <w:color w:val="000000" w:themeColor="text1"/>
                <w14:textFill>
                  <w14:solidFill>
                    <w14:schemeClr w14:val="tx1"/>
                  </w14:solidFill>
                </w14:textFill>
              </w:rPr>
              <w:t>3、学术论文：作者排序（第一作者、并列第一作者、通讯作者、并列通讯作者、其它作者）、期刊类别（SCI、北大核心、科技核心、其它）、期刊名称、影响因子（只针对SCI论文）、中科院分区（只针对SCI论文）、论文名称、论文类别（article、meta、review、研究型letter、病例报道型letter、case、评论或回复类）、ISSN、发表时间，支持上传论文附件；</w:t>
            </w:r>
          </w:p>
          <w:p w14:paraId="6385B2ED">
            <w:pPr>
              <w:pStyle w:val="8"/>
              <w:rPr>
                <w:color w:val="000000" w:themeColor="text1"/>
                <w14:textFill>
                  <w14:solidFill>
                    <w14:schemeClr w14:val="tx1"/>
                  </w14:solidFill>
                </w14:textFill>
              </w:rPr>
            </w:pPr>
            <w:r>
              <w:rPr>
                <w:rFonts w:hint="eastAsia"/>
                <w:color w:val="000000" w:themeColor="text1"/>
                <w14:textFill>
                  <w14:solidFill>
                    <w14:schemeClr w14:val="tx1"/>
                  </w14:solidFill>
                </w14:textFill>
              </w:rPr>
              <w:t>4、学术任职管理：包括级别（国家级、省级、市级），任职学会名称、任职专委会名称、任职职务、聘书发放时间、任期、是否为七大学/协会（医学会、医师协会、预防医学会、口腔医学会、护理学会、老年学学会、卫生经济学会）、新任/续任，支持上传聘书附件；</w:t>
            </w:r>
          </w:p>
          <w:p w14:paraId="45965555">
            <w:pPr>
              <w:pStyle w:val="8"/>
              <w:rPr>
                <w:color w:val="000000" w:themeColor="text1"/>
                <w14:textFill>
                  <w14:solidFill>
                    <w14:schemeClr w14:val="tx1"/>
                  </w14:solidFill>
                </w14:textFill>
              </w:rPr>
            </w:pPr>
            <w:r>
              <w:rPr>
                <w:rFonts w:hint="eastAsia"/>
                <w:color w:val="000000" w:themeColor="text1"/>
                <w14:textFill>
                  <w14:solidFill>
                    <w14:schemeClr w14:val="tx1"/>
                  </w14:solidFill>
                </w14:textFill>
              </w:rPr>
              <w:t>5、成果获奖管理：成果奖励级别（国家科技进步奖、国家级其它奖励、省科技进步将、省医学科技奖、市科技进步奖、市医学科技奖、其它），成果等级（特等奖、一等奖、二等奖、三等奖、其它）、获奖时间，获奖人顺序。</w:t>
            </w:r>
          </w:p>
          <w:p w14:paraId="3D851171">
            <w:pPr>
              <w:pStyle w:val="8"/>
              <w:rPr>
                <w:color w:val="000000" w:themeColor="text1"/>
                <w14:textFill>
                  <w14:solidFill>
                    <w14:schemeClr w14:val="tx1"/>
                  </w14:solidFill>
                </w14:textFill>
              </w:rPr>
            </w:pPr>
            <w:r>
              <w:rPr>
                <w:rFonts w:hint="eastAsia"/>
                <w:color w:val="000000" w:themeColor="text1"/>
                <w14:textFill>
                  <w14:solidFill>
                    <w14:schemeClr w14:val="tx1"/>
                  </w14:solidFill>
                </w14:textFill>
              </w:rPr>
              <w:t>每项需所有条目填写完整才可保存，提交，显示简历更新日期。</w:t>
            </w:r>
          </w:p>
        </w:tc>
      </w:tr>
      <w:tr w14:paraId="19A3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4A3B2BD">
            <w:pPr>
              <w:jc w:val="center"/>
            </w:pPr>
            <w:r>
              <w:rPr>
                <w:rFonts w:hint="eastAsia"/>
              </w:rPr>
              <w:t>16</w:t>
            </w:r>
          </w:p>
        </w:tc>
        <w:tc>
          <w:tcPr>
            <w:tcW w:w="1913" w:type="dxa"/>
            <w:vAlign w:val="center"/>
          </w:tcPr>
          <w:p w14:paraId="45E3C844">
            <w:pPr>
              <w:jc w:val="center"/>
              <w:rPr>
                <w:rFonts w:eastAsia="宋体"/>
              </w:rPr>
            </w:pPr>
            <w:r>
              <w:rPr>
                <w:rFonts w:hint="eastAsia"/>
              </w:rPr>
              <w:t>移动性需求</w:t>
            </w:r>
          </w:p>
        </w:tc>
        <w:tc>
          <w:tcPr>
            <w:tcW w:w="6306" w:type="dxa"/>
          </w:tcPr>
          <w:p w14:paraId="775A8B74">
            <w:r>
              <w:rPr>
                <w:rFonts w:hint="eastAsia"/>
              </w:rPr>
              <w:t>1.整体需求</w:t>
            </w:r>
          </w:p>
          <w:p w14:paraId="13972A4D">
            <w:r>
              <w:rPr>
                <w:rFonts w:hint="eastAsia"/>
              </w:rPr>
              <w:t>支持全模块移动端展现，布局美观；移动端操作简便易用；支持多操作系统（iOS、Android），多终端（手机、平板）的访问。</w:t>
            </w:r>
          </w:p>
          <w:p w14:paraId="1BA128DE">
            <w:r>
              <w:rPr>
                <w:rFonts w:hint="eastAsia"/>
              </w:rPr>
              <w:t>2.个人信息查询</w:t>
            </w:r>
          </w:p>
          <w:p w14:paraId="3E02E4E2">
            <w:r>
              <w:rPr>
                <w:rFonts w:hint="eastAsia"/>
              </w:rPr>
              <w:t>（1）支持查看员工本人信息，包括基本信息、教育经历、工作履历、合同信息等；</w:t>
            </w:r>
          </w:p>
          <w:p w14:paraId="3EA49A7C">
            <w:r>
              <w:rPr>
                <w:rFonts w:hint="eastAsia"/>
              </w:rPr>
              <w:t>（2）支持授权范围内修改本人相关所有信息。</w:t>
            </w:r>
          </w:p>
          <w:p w14:paraId="16462897">
            <w:r>
              <w:rPr>
                <w:rFonts w:hint="eastAsia"/>
              </w:rPr>
              <w:t>3.薪酬信息查询</w:t>
            </w:r>
          </w:p>
          <w:p w14:paraId="4E843DED">
            <w:r>
              <w:rPr>
                <w:rFonts w:hint="eastAsia"/>
              </w:rPr>
              <w:t>（1）员工本人可以方便地查看本人每个期间的工资、社保信息：</w:t>
            </w:r>
          </w:p>
          <w:p w14:paraId="3A06D601">
            <w:r>
              <w:rPr>
                <w:rFonts w:hint="eastAsia"/>
              </w:rPr>
              <w:t>（2）薪资条设置可修改薪资条中发薪项目的显示名称；</w:t>
            </w:r>
          </w:p>
          <w:p w14:paraId="7B24EB67">
            <w:r>
              <w:rPr>
                <w:rFonts w:hint="eastAsia"/>
              </w:rPr>
              <w:t>（3）系统支持通过参数控制在移动端进行薪资查询时是否要进行二次密码认证，并支持密码重置。</w:t>
            </w:r>
          </w:p>
          <w:p w14:paraId="3B302140">
            <w:r>
              <w:rPr>
                <w:rFonts w:hint="eastAsia"/>
              </w:rPr>
              <w:t>4.团队信息查询</w:t>
            </w:r>
          </w:p>
          <w:p w14:paraId="12DAEA60">
            <w:r>
              <w:rPr>
                <w:rFonts w:hint="eastAsia"/>
              </w:rPr>
              <w:t xml:space="preserve">（1）部门负责人可以查看主管部门的员工信息和下级部门信息，包括：每个部门的任职员工数，以及部门直属员工列表。 </w:t>
            </w:r>
          </w:p>
          <w:p w14:paraId="0A8C47D0">
            <w:r>
              <w:rPr>
                <w:rFonts w:hint="eastAsia"/>
              </w:rPr>
              <w:t>（2）通过人员列表可以查询人员的信息，包含基本信息、能力信息、考勤休假信息等。</w:t>
            </w:r>
          </w:p>
          <w:p w14:paraId="6001D8A1">
            <w:r>
              <w:rPr>
                <w:rFonts w:hint="eastAsia"/>
              </w:rPr>
              <w:t>（3）支持对团队人员结构的分析：预置统计维度，包括年龄构成分析、工作年限分析、学历构成分析、职等构成分析；支持柱状图、饼状图、明细列表等多种展现模式，并支持数据钻取。</w:t>
            </w:r>
          </w:p>
          <w:p w14:paraId="2D992F4A">
            <w:r>
              <w:rPr>
                <w:rFonts w:hint="eastAsia"/>
              </w:rPr>
              <w:t>5.提供各种个人工作流程待办、审批、已办、办结功能。</w:t>
            </w:r>
          </w:p>
          <w:p w14:paraId="76BCD7B6">
            <w:r>
              <w:rPr>
                <w:rFonts w:hint="eastAsia"/>
              </w:rPr>
              <w:t>6.提供应用中心，根据使用权限添加应用功能如薪酬查询、个人事务办理等。</w:t>
            </w:r>
          </w:p>
        </w:tc>
      </w:tr>
      <w:tr w14:paraId="3DE8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207C05C">
            <w:pPr>
              <w:jc w:val="center"/>
            </w:pPr>
            <w:r>
              <w:rPr>
                <w:rFonts w:hint="eastAsia"/>
              </w:rPr>
              <w:t>17</w:t>
            </w:r>
          </w:p>
        </w:tc>
        <w:tc>
          <w:tcPr>
            <w:tcW w:w="1913" w:type="dxa"/>
            <w:vAlign w:val="center"/>
          </w:tcPr>
          <w:p w14:paraId="6A6B8B6B">
            <w:pPr>
              <w:jc w:val="center"/>
              <w:rPr>
                <w:rFonts w:eastAsia="宋体"/>
              </w:rPr>
            </w:pPr>
            <w:r>
              <w:rPr>
                <w:rFonts w:hint="eastAsia"/>
              </w:rPr>
              <w:t>报表管理</w:t>
            </w:r>
          </w:p>
        </w:tc>
        <w:tc>
          <w:tcPr>
            <w:tcW w:w="6306" w:type="dxa"/>
          </w:tcPr>
          <w:p w14:paraId="0340EB4B">
            <w:r>
              <w:rPr>
                <w:rFonts w:hint="eastAsia"/>
              </w:rPr>
              <w:t>1.报表管理功能：报表统计分析功能支持多数据表链接，支持条件筛选和多种图表样式发布</w:t>
            </w:r>
          </w:p>
          <w:p w14:paraId="0E2C2CE7">
            <w:r>
              <w:rPr>
                <w:rFonts w:hint="eastAsia"/>
              </w:rPr>
              <w:t>2.报表类型：支持按不同统计周期生成不同频次的报表，可灵活自定义日报表、月报表、季度报表、年度报表等。可支持总量、结构、效能、效率不同维度的报表。</w:t>
            </w:r>
          </w:p>
          <w:p w14:paraId="4D9D4749">
            <w:r>
              <w:rPr>
                <w:rFonts w:hint="eastAsia"/>
              </w:rPr>
              <w:t>3.报表样式：可根据实际需要进行类似EXCEL表格方式自定义报表设计与制作，生成自定义样式的报表。</w:t>
            </w:r>
          </w:p>
          <w:p w14:paraId="11A663EA">
            <w:r>
              <w:rPr>
                <w:rFonts w:hint="eastAsia"/>
              </w:rPr>
              <w:t>4.报表分析：可进行数据钻取、数据展示和数据分析等。</w:t>
            </w:r>
          </w:p>
          <w:p w14:paraId="6DD65950">
            <w:r>
              <w:rPr>
                <w:rFonts w:hint="eastAsia"/>
              </w:rPr>
              <w:t>5.实现报表的制作与浏览：即通过预先设置好的逻辑规则与格式，格式化的输出系统数据，把数据信息以可靠和安全的方式呈现给使用者。</w:t>
            </w:r>
          </w:p>
          <w:p w14:paraId="06868FEE">
            <w:r>
              <w:rPr>
                <w:rFonts w:hint="eastAsia"/>
              </w:rPr>
              <w:t>6.要求系统能内置常用的各类登记表、花名册、证明材料格式、统计报表等（包括院内和上报的各类表格），自主设计表样，报表能够以表格、图形多种方式显示，并且支持权限内的导出和打印。</w:t>
            </w:r>
          </w:p>
          <w:p w14:paraId="19029E07">
            <w:r>
              <w:rPr>
                <w:rFonts w:hint="eastAsia"/>
              </w:rPr>
              <w:t>7.在所有生成表格的地方都能支持导入和导出功能，在生成统计表的地方均需支持表格和图形形式展示，无需二次开发。</w:t>
            </w:r>
          </w:p>
          <w:p w14:paraId="5A3ABACA">
            <w:r>
              <w:rPr>
                <w:rFonts w:hint="eastAsia"/>
              </w:rPr>
              <w:t>8.支持指标分析、表达式分析、表内校验、表间校验、表内表外计算。支持外部表单样例的导入，并设置自动取值的条件，可实现数据穿透功能，可以进行历史数据的对比。</w:t>
            </w:r>
          </w:p>
        </w:tc>
      </w:tr>
      <w:tr w14:paraId="7378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D2B2B4D">
            <w:pPr>
              <w:jc w:val="center"/>
            </w:pPr>
            <w:r>
              <w:rPr>
                <w:rFonts w:hint="eastAsia"/>
              </w:rPr>
              <w:t>18</w:t>
            </w:r>
          </w:p>
        </w:tc>
        <w:tc>
          <w:tcPr>
            <w:tcW w:w="1913" w:type="dxa"/>
            <w:vAlign w:val="center"/>
          </w:tcPr>
          <w:p w14:paraId="069B546A">
            <w:pPr>
              <w:jc w:val="center"/>
              <w:rPr>
                <w:rFonts w:eastAsia="宋体"/>
              </w:rPr>
            </w:pPr>
            <w:r>
              <w:rPr>
                <w:rFonts w:hint="eastAsia" w:eastAsia="宋体"/>
              </w:rPr>
              <w:t>统一接口Wiki</w:t>
            </w:r>
          </w:p>
        </w:tc>
        <w:tc>
          <w:tcPr>
            <w:tcW w:w="6306" w:type="dxa"/>
          </w:tcPr>
          <w:p w14:paraId="53A31D34">
            <w:r>
              <w:rPr>
                <w:rFonts w:hint="eastAsia"/>
              </w:rPr>
              <w:t>支持接口梳理，提供系统核心数据接口API与管理Wiki，方便进行二次开发与数据流转，以网页等形式进行定期更新与维护</w:t>
            </w:r>
          </w:p>
        </w:tc>
      </w:tr>
      <w:tr w14:paraId="69A4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3EAEF073">
            <w:pPr>
              <w:jc w:val="center"/>
            </w:pPr>
            <w:r>
              <w:rPr>
                <w:rFonts w:hint="eastAsia"/>
              </w:rPr>
              <w:t>19</w:t>
            </w:r>
          </w:p>
        </w:tc>
        <w:tc>
          <w:tcPr>
            <w:tcW w:w="1913" w:type="dxa"/>
            <w:shd w:val="clear" w:color="auto" w:fill="auto"/>
            <w:vAlign w:val="center"/>
          </w:tcPr>
          <w:p w14:paraId="048148A4">
            <w:pPr>
              <w:jc w:val="center"/>
              <w:rPr>
                <w:rFonts w:eastAsia="宋体"/>
              </w:rPr>
            </w:pPr>
            <w:r>
              <w:rPr>
                <w:rFonts w:hint="eastAsia"/>
              </w:rPr>
              <w:t>系统其他功能</w:t>
            </w:r>
          </w:p>
        </w:tc>
        <w:tc>
          <w:tcPr>
            <w:tcW w:w="6306" w:type="dxa"/>
            <w:shd w:val="clear" w:color="auto" w:fill="auto"/>
          </w:tcPr>
          <w:p w14:paraId="4B26398E">
            <w:r>
              <w:rPr>
                <w:rFonts w:hint="eastAsia"/>
              </w:rPr>
              <w:t>1.以上功能需求中每一模块的功能都应在该模块中实现，不需要跨模块进行操作。</w:t>
            </w:r>
          </w:p>
          <w:p w14:paraId="255D23C2">
            <w:pPr>
              <w:ind w:firstLine="210" w:firstLineChars="100"/>
            </w:pPr>
            <w:r>
              <w:rPr>
                <w:rFonts w:hint="eastAsia"/>
              </w:rPr>
              <w:t>2、系统权限设置具有对字段和数据进行保密设置功能。</w:t>
            </w:r>
          </w:p>
          <w:p w14:paraId="138F004A">
            <w:r>
              <w:rPr>
                <w:rFonts w:hint="eastAsia"/>
              </w:rPr>
              <w:t>3.能够组织问卷调查，自主设计问卷格式，并对结果进行统计分析。</w:t>
            </w:r>
          </w:p>
          <w:p w14:paraId="2D6FBF3F">
            <w:r>
              <w:rPr>
                <w:rFonts w:hint="eastAsia"/>
              </w:rPr>
              <w:t>4.系统拥有易用清晰的流程设计工具，可灵活自定义新的流程，或对已有流程进行修改。</w:t>
            </w:r>
          </w:p>
          <w:p w14:paraId="32E8B173">
            <w:r>
              <w:rPr>
                <w:rFonts w:hint="eastAsia"/>
              </w:rPr>
              <w:t>5.需实现医院其他部门的系统进行对接，传输相关数据，保持数据实时更新，支持后续医院提出的其它需要的系统接口对接，费用包含在本次报价</w:t>
            </w:r>
          </w:p>
          <w:p w14:paraId="0B368E26">
            <w:r>
              <w:rPr>
                <w:rFonts w:hint="eastAsia"/>
              </w:rPr>
              <w:t>6.应结合医院的特色设计PC端及移动端个性化的操作界面，并根据需要进行调整。</w:t>
            </w:r>
          </w:p>
        </w:tc>
      </w:tr>
    </w:tbl>
    <w:p w14:paraId="70E87B07">
      <w:pPr>
        <w:pStyle w:val="20"/>
        <w:numPr>
          <w:ilvl w:val="0"/>
          <w:numId w:val="1"/>
        </w:numPr>
        <w:spacing w:before="0" w:beforeAutospacing="0" w:after="0" w:afterAutospacing="0" w:line="560" w:lineRule="exact"/>
        <w:ind w:firstLine="643" w:firstLineChars="200"/>
        <w:jc w:val="both"/>
        <w:rPr>
          <w:rFonts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硬件需求</w:t>
      </w:r>
    </w:p>
    <w:p w14:paraId="68CC5EC1">
      <w:pPr>
        <w:pStyle w:val="2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firstLine="640" w:firstLineChars="200"/>
        <w:jc w:val="both"/>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SA"/>
        </w:rPr>
        <w:t>（一）</w:t>
      </w:r>
      <w:r>
        <w:rPr>
          <w:rFonts w:hint="eastAsia" w:ascii="方正仿宋_GBK" w:hAnsi="方正仿宋_GBK" w:eastAsia="方正仿宋_GBK" w:cs="方正仿宋_GBK"/>
          <w:color w:val="000000"/>
          <w:sz w:val="32"/>
          <w:szCs w:val="32"/>
        </w:rPr>
        <w:t>数据库要求：本项目实施需要使用的数据库，供应商提供使用权（至少使用到本项目运行维护期结束），针对于本次系统建设所需的集中式数据库，在“中国信息安全测评中心”或“国家保密科技测评中心”发布的“安全可靠测评结果公告”名单内，或者已取得由国家认定检测机构出具的包含CNAS或CMA资质的信创产品检测合格报告。因使用产生的费用包含在投标报价中。</w:t>
      </w:r>
    </w:p>
    <w:p w14:paraId="1E4ECEFA">
      <w:pPr>
        <w:pStyle w:val="2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kern w:val="0"/>
          <w:sz w:val="32"/>
          <w:szCs w:val="32"/>
          <w:lang w:val="en-US" w:eastAsia="zh-CN" w:bidi="ar-SA"/>
        </w:rPr>
        <w:t>（二）</w:t>
      </w:r>
      <w:r>
        <w:rPr>
          <w:rFonts w:hint="eastAsia" w:ascii="方正仿宋_GBK" w:hAnsi="方正仿宋_GBK" w:eastAsia="方正仿宋_GBK" w:cs="方正仿宋_GBK"/>
          <w:color w:val="000000"/>
          <w:sz w:val="32"/>
          <w:szCs w:val="32"/>
        </w:rPr>
        <w:t>云服务资源：本项目实施需要使用的云服务资源，供应商提供使用权（至少使用到本项目运行维护期结束）：云计算规格不低于30 vCPU；云存储不低于1024GiB；固定带宽不低于 10Mbps。因使用产生的费用包含在投标报价中</w:t>
      </w:r>
      <w:r>
        <w:rPr>
          <w:rFonts w:hint="eastAsia" w:ascii="方正仿宋_GBK" w:hAnsi="方正仿宋_GBK" w:eastAsia="方正仿宋_GBK" w:cs="方正仿宋_GBK"/>
          <w:color w:val="000000"/>
          <w:sz w:val="32"/>
          <w:szCs w:val="32"/>
          <w:lang w:eastAsia="zh-CN"/>
        </w:rPr>
        <w:t>。</w:t>
      </w:r>
    </w:p>
    <w:p w14:paraId="0EA4A613">
      <w:pPr>
        <w:pStyle w:val="2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firstLine="640" w:firstLineChars="200"/>
        <w:jc w:val="both"/>
        <w:textAlignment w:val="auto"/>
        <w:rPr>
          <w:rFonts w:ascii="方正仿宋_GBK" w:hAnsi="方正仿宋_GBK" w:eastAsia="方正仿宋_GBK" w:cs="方正仿宋_GBK"/>
          <w:color w:val="000000"/>
          <w:sz w:val="32"/>
          <w:szCs w:val="32"/>
        </w:rPr>
      </w:pPr>
      <w:bookmarkStart w:id="0" w:name="_GoBack"/>
      <w:bookmarkEnd w:id="0"/>
      <w:r>
        <w:rPr>
          <w:rFonts w:hint="eastAsia" w:ascii="方正仿宋_GBK" w:hAnsi="方正仿宋_GBK" w:eastAsia="方正仿宋_GBK" w:cs="方正仿宋_GBK"/>
          <w:color w:val="000000"/>
          <w:sz w:val="32"/>
          <w:szCs w:val="32"/>
        </w:rPr>
        <w:t>（三）服务器及操作系统要求：本项目实施需要使用的服务器、操作系统，供应商应根据本身产品架构和使用需求，规划不低于3年（至少涵盖本项目运行维护期）系统使用的计算、存储资源及相应操作系统。供应商针对于本次系统建设所需的服务器，其配套的中央处理器和操作系统在“中国信息安全测评中心”或“国家保密科技测评中心”发布的“安全可靠测评结果公告”名单内，或者已取得由国家认定检测机构出具的包含CNAS或CMA资质的信创产品检测合格报告。本次系统建设所需的服务器配置（中央处理器计算能力、内存容量、硬盘容量）和数量，操作系统版本和数量，应在投标文件中说明服务器及操作系统配置方案，并在中标后协助采购人确定服务器及操作系统配置方案。服务器及操作系统由采购人根据确定的配置方案另行购买。</w:t>
      </w:r>
    </w:p>
    <w:p w14:paraId="445F70AD">
      <w:pPr>
        <w:pStyle w:val="20"/>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系统安全：为保证系统数据稳定性及安全性，在系统上线前需通过医院组织的安全评估，合格后方可正式上线运行。服务期内，按照《中华人民共和国网络安全法》、《中华人民共和国保密法》、《信息安全等级保护管理办法》的要求采取相应措施，接受采购人信息安全管理，协助采购人做好信息安全工作，处置安全风险。由此产生的费用包含在投标报价中。</w:t>
      </w:r>
    </w:p>
    <w:p w14:paraId="6A78F7B7">
      <w:pPr>
        <w:pStyle w:val="3"/>
        <w:numPr>
          <w:ilvl w:val="255"/>
          <w:numId w:val="0"/>
        </w:numPr>
        <w:spacing w:line="560" w:lineRule="exact"/>
        <w:ind w:firstLine="643" w:firstLineChars="200"/>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三、驻场人员要求</w:t>
      </w:r>
    </w:p>
    <w:p w14:paraId="6E7836E5">
      <w:pPr>
        <w:adjustRightInd w:val="0"/>
        <w:snapToGrid w:val="0"/>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（一）项目实施阶段管理要求</w:t>
      </w:r>
    </w:p>
    <w:p w14:paraId="7625BD67">
      <w:pPr>
        <w:adjustRightInd w:val="0"/>
        <w:snapToGrid w:val="0"/>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1.投标人应当根据系统建设进度，结合上线要求制定建设方案及人员配置方案。</w:t>
      </w:r>
    </w:p>
    <w:p w14:paraId="6EAB7F43">
      <w:pPr>
        <w:adjustRightInd w:val="0"/>
        <w:snapToGrid w:val="0"/>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驻场要求：所有研发人员根据研发与实施按甲方要求进行驻场，人员需要经过甲方测评为“合格”才可入场，保障项目实施进度和需求调整。</w:t>
      </w:r>
    </w:p>
    <w:p w14:paraId="44C96C52">
      <w:pPr>
        <w:adjustRightInd w:val="0"/>
        <w:snapToGrid w:val="0"/>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考核与管理：乙方人员的工作内容、任务考核及交付标准均由甲方制定和评估。</w:t>
      </w:r>
    </w:p>
    <w:p w14:paraId="7DDA1478">
      <w:pPr>
        <w:adjustRightInd w:val="0"/>
        <w:snapToGrid w:val="0"/>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进度管理：驻场期间，乙方人员需定期提交工作进展，通过scrum敏捷管理，不限于周报、日报等项目管理工具，定期向甲方汇报研发进度，确保项目按计划推进。</w:t>
      </w:r>
    </w:p>
    <w:p w14:paraId="0DBD37FC">
      <w:pPr>
        <w:adjustRightInd w:val="0"/>
        <w:snapToGrid w:val="0"/>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（二）人员配置要求</w:t>
      </w:r>
    </w:p>
    <w:p w14:paraId="194B1080">
      <w:pPr>
        <w:adjustRightInd w:val="0"/>
        <w:snapToGrid w:val="0"/>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中标人应当项目研发实施阶段需提供至少以下核心研发人员，确保各岗位均有专人负责，且各岗位之间不可兼职，以保证高效推进项目研发。系统人员要求：</w:t>
      </w:r>
    </w:p>
    <w:p w14:paraId="7D21DDC6">
      <w:pPr>
        <w:adjustRightInd w:val="0"/>
        <w:snapToGrid w:val="0"/>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1.产品经理：负责需求分析、产品规划、功能设计、研发协同与项目推进。</w:t>
      </w:r>
    </w:p>
    <w:p w14:paraId="1F1DFF0D">
      <w:pPr>
        <w:adjustRightInd w:val="0"/>
        <w:snapToGrid w:val="0"/>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2.全栈开发工程师：负责平台前端及后端系统的开发、接口对接、系统优化。</w:t>
      </w:r>
    </w:p>
    <w:p w14:paraId="6A6A7FF9">
      <w:pPr>
        <w:adjustRightInd w:val="0"/>
        <w:snapToGrid w:val="0"/>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3.UI设计师：负责系统界面设计及用户体验优化，确保系统符合医院业务场景。</w:t>
      </w:r>
    </w:p>
    <w:p w14:paraId="10387EC3">
      <w:pPr>
        <w:adjustRightInd w:val="0"/>
        <w:snapToGrid w:val="0"/>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4.测试工程师：负责功能、性能、兼容性测试，确保系统稳定性与质量。</w:t>
      </w:r>
    </w:p>
    <w:p w14:paraId="08880191">
      <w:pPr>
        <w:widowControl/>
        <w:numPr>
          <w:ilvl w:val="255"/>
          <w:numId w:val="0"/>
        </w:numPr>
        <w:adjustRightInd w:val="0"/>
        <w:snapToGrid w:val="0"/>
        <w:spacing w:line="560" w:lineRule="exact"/>
        <w:ind w:firstLine="640" w:firstLineChars="200"/>
        <w:jc w:val="left"/>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5.后端开发工程师：负责后端架构设计、接口开发、数据存储优化，支持系统扩展。上线数据准备人员：应当根据上线进度配置专门人员配合医院完成系统上线需求、问题、流程梳理对接等工作。</w:t>
      </w:r>
    </w:p>
    <w:p w14:paraId="24540F4C">
      <w:pPr>
        <w:pStyle w:val="8"/>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三）驻场人员要求应该受限医院信息中心管理，包括不限于工作内容、内容分管，其中研发与实施阶段，工种应该有如下要求，一人不可兼职其他岗位，各岗位现场驻场人员工种及人数根据项目周期进行相应变动。</w:t>
      </w:r>
    </w:p>
    <w:p w14:paraId="69F8A30D">
      <w:pPr>
        <w:pStyle w:val="8"/>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（四）系统开发建设期间考核与管理：采购人每月第</w:t>
      </w:r>
      <w:r>
        <w:rPr>
          <w:rFonts w:ascii="方正仿宋_GBK" w:hAnsi="方正仿宋_GBK" w:eastAsia="方正仿宋_GBK" w:cs="方正仿宋_GBK"/>
          <w:color w:val="000000"/>
          <w:kern w:val="0"/>
          <w:sz w:val="32"/>
          <w:szCs w:val="32"/>
        </w:rPr>
        <w:t xml:space="preserve"> 1 </w:t>
      </w:r>
      <w:r>
        <w:rPr>
          <w:rFonts w:hint="eastAsia" w:ascii="方正仿宋_GBK" w:hAnsi="方正仿宋_GBK" w:eastAsia="方正仿宋_GBK" w:cs="方正仿宋_GBK"/>
          <w:color w:val="000000"/>
          <w:kern w:val="0"/>
          <w:sz w:val="32"/>
          <w:szCs w:val="32"/>
        </w:rPr>
        <w:t>周对供应商驻场人员进行上月综合考核；当个人月度得分低于</w:t>
      </w:r>
      <w:r>
        <w:rPr>
          <w:rFonts w:ascii="方正仿宋_GBK" w:hAnsi="方正仿宋_GBK" w:eastAsia="方正仿宋_GBK" w:cs="方正仿宋_GBK"/>
          <w:color w:val="000000"/>
          <w:kern w:val="0"/>
          <w:sz w:val="32"/>
          <w:szCs w:val="32"/>
        </w:rPr>
        <w:t xml:space="preserve"> 60 </w:t>
      </w:r>
      <w:r>
        <w:rPr>
          <w:rFonts w:hint="eastAsia" w:ascii="方正仿宋_GBK" w:hAnsi="方正仿宋_GBK" w:eastAsia="方正仿宋_GBK" w:cs="方正仿宋_GBK"/>
          <w:color w:val="000000"/>
          <w:kern w:val="0"/>
          <w:sz w:val="32"/>
          <w:szCs w:val="32"/>
        </w:rPr>
        <w:t>分时，采购人书面、微信或邮件或</w:t>
      </w:r>
      <w:r>
        <w:rPr>
          <w:rFonts w:ascii="方正仿宋_GBK" w:hAnsi="方正仿宋_GBK" w:eastAsia="方正仿宋_GBK" w:cs="方正仿宋_GBK"/>
          <w:color w:val="000000"/>
          <w:kern w:val="0"/>
          <w:sz w:val="32"/>
          <w:szCs w:val="32"/>
        </w:rPr>
        <w:t>QQ通知后，供应商须在 7个工作日内更换该人员，新人员需要通过采购人员验证。</w:t>
      </w:r>
      <w:r>
        <w:rPr>
          <w:rFonts w:hint="eastAsia" w:ascii="方正仿宋_GBK" w:hAnsi="方正仿宋_GBK" w:eastAsia="方正仿宋_GBK" w:cs="方正仿宋_GBK"/>
          <w:color w:val="000000"/>
          <w:kern w:val="0"/>
          <w:sz w:val="32"/>
          <w:szCs w:val="32"/>
        </w:rPr>
        <w:t>具体考核维度见附件。</w:t>
      </w:r>
    </w:p>
    <w:p w14:paraId="50347C75">
      <w:pPr>
        <w:pStyle w:val="8"/>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（五）驻场运维人员月度考核说明：采购人每月第</w:t>
      </w:r>
      <w:r>
        <w:rPr>
          <w:rFonts w:ascii="方正仿宋_GBK" w:hAnsi="方正仿宋_GBK" w:eastAsia="方正仿宋_GBK" w:cs="方正仿宋_GBK"/>
          <w:color w:val="000000"/>
          <w:kern w:val="0"/>
          <w:sz w:val="32"/>
          <w:szCs w:val="32"/>
        </w:rPr>
        <w:t xml:space="preserve"> 1 </w:t>
      </w:r>
      <w:r>
        <w:rPr>
          <w:rFonts w:hint="eastAsia" w:ascii="方正仿宋_GBK" w:hAnsi="方正仿宋_GBK" w:eastAsia="方正仿宋_GBK" w:cs="方正仿宋_GBK"/>
          <w:color w:val="000000"/>
          <w:kern w:val="0"/>
          <w:sz w:val="32"/>
          <w:szCs w:val="32"/>
        </w:rPr>
        <w:t>周对供应商驻场人员进行上月综合考核；当个人月度得分低于</w:t>
      </w:r>
      <w:r>
        <w:rPr>
          <w:rFonts w:ascii="方正仿宋_GBK" w:hAnsi="方正仿宋_GBK" w:eastAsia="方正仿宋_GBK" w:cs="方正仿宋_GBK"/>
          <w:color w:val="000000"/>
          <w:kern w:val="0"/>
          <w:sz w:val="32"/>
          <w:szCs w:val="32"/>
        </w:rPr>
        <w:t xml:space="preserve"> 70 </w:t>
      </w:r>
      <w:r>
        <w:rPr>
          <w:rFonts w:hint="eastAsia" w:ascii="方正仿宋_GBK" w:hAnsi="方正仿宋_GBK" w:eastAsia="方正仿宋_GBK" w:cs="方正仿宋_GBK"/>
          <w:color w:val="000000"/>
          <w:kern w:val="0"/>
          <w:sz w:val="32"/>
          <w:szCs w:val="32"/>
        </w:rPr>
        <w:t>分时，采购人书面或微信或邮件或</w:t>
      </w:r>
      <w:r>
        <w:rPr>
          <w:rFonts w:ascii="方正仿宋_GBK" w:hAnsi="方正仿宋_GBK" w:eastAsia="方正仿宋_GBK" w:cs="方正仿宋_GBK"/>
          <w:color w:val="000000"/>
          <w:kern w:val="0"/>
          <w:sz w:val="32"/>
          <w:szCs w:val="32"/>
        </w:rPr>
        <w:t>QQ通知后，供应商须在 7个工作日内更换该人员，新人员需要通过采购人员验证。以下规则结合《网络安全事件分级与通报管理办法（试行）》及医院信息系统安全事件等级（Ⅰ–Ⅳ级）制定。</w:t>
      </w:r>
      <w:r>
        <w:rPr>
          <w:rFonts w:hint="eastAsia" w:ascii="方正仿宋_GBK" w:hAnsi="方正仿宋_GBK" w:eastAsia="方正仿宋_GBK" w:cs="方正仿宋_GBK"/>
          <w:color w:val="000000"/>
          <w:kern w:val="0"/>
          <w:sz w:val="32"/>
          <w:szCs w:val="32"/>
        </w:rPr>
        <w:t>具体考核维度见附件。</w:t>
      </w:r>
    </w:p>
    <w:p w14:paraId="3C14A06A">
      <w:pPr>
        <w:pStyle w:val="8"/>
        <w:numPr>
          <w:ilvl w:val="0"/>
          <w:numId w:val="2"/>
        </w:numPr>
        <w:spacing w:line="560" w:lineRule="exact"/>
        <w:ind w:firstLine="643" w:firstLineChars="200"/>
        <w:rPr>
          <w:rFonts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研发周期</w:t>
      </w:r>
    </w:p>
    <w:p w14:paraId="11F70158">
      <w:pPr>
        <w:pStyle w:val="8"/>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研发周期要求：本项目的研发周期共计210天，分为四个阶段进行，以需求调研、核心功能开发、系统优化及稳定运行为主线，确保系统顺利落地并高效运行。如研发周期因甲方原因导致延期，不追究乙方责任。具体周期安排如下：</w:t>
      </w:r>
    </w:p>
    <w:p w14:paraId="5CE22E8B">
      <w:pPr>
        <w:pStyle w:val="8"/>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（一）需求调研与原型设计时间：0-30天</w:t>
      </w:r>
    </w:p>
    <w:p w14:paraId="39786513">
      <w:pPr>
        <w:pStyle w:val="8"/>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完成HR系统的场景调研包括不限于医院先有功能模块、系统调研，梳理其接口与系统开发框架，做好研发系统原型设计，进行scrum敏捷管理，定期需求评审会，通过医院信息中心需求评审后，才可定稿，进行下一阶段。</w:t>
      </w:r>
    </w:p>
    <w:p w14:paraId="4141C87E">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该阶段需要驻场后端开发不少于1人、前端开发不少于1人、产品经理不少于2人、UI设计不少于1人。</w:t>
      </w:r>
    </w:p>
    <w:p w14:paraId="2F547134">
      <w:pPr>
        <w:pStyle w:val="8"/>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（二）现有系统部署与功能开发：30-120天</w:t>
      </w:r>
    </w:p>
    <w:p w14:paraId="3AC82B29">
      <w:pPr>
        <w:pStyle w:val="8"/>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完成现在已经功能的部署，并且提供给业务部门使用，并且同步推行个性化功能开发，完成个性化功能开发与现有系统集成。</w:t>
      </w:r>
    </w:p>
    <w:p w14:paraId="2272514F">
      <w:pPr>
        <w:pStyle w:val="20"/>
        <w:adjustRightInd w:val="0"/>
        <w:snapToGrid w:val="0"/>
        <w:spacing w:before="0" w:beforeAutospacing="0" w:after="0" w:afterAutospacing="0" w:line="560" w:lineRule="exact"/>
        <w:ind w:firstLine="480"/>
        <w:rPr>
          <w:rFonts w:ascii="方正仿宋_GBK" w:hAnsi="方正仿宋_GBK" w:eastAsia="方正仿宋_GBK" w:cs="方正仿宋_GBK"/>
          <w:color w:val="000000"/>
          <w:sz w:val="32"/>
          <w:szCs w:val="32"/>
          <w:shd w:val="clear" w:color="auto" w:fill="FFFF00"/>
        </w:rPr>
      </w:pPr>
      <w:r>
        <w:rPr>
          <w:rFonts w:hint="eastAsia" w:ascii="方正仿宋_GBK" w:hAnsi="方正仿宋_GBK" w:eastAsia="方正仿宋_GBK" w:cs="方正仿宋_GBK"/>
          <w:sz w:val="32"/>
          <w:szCs w:val="32"/>
        </w:rPr>
        <w:t>该阶段需要驻场后端开发不少于2人、前端开发不少于1人、测试不少于1人、产品经理不少于1人、UI设计不少于1人，全栈开发不少于1人。</w:t>
      </w:r>
    </w:p>
    <w:p w14:paraId="246C1914">
      <w:pPr>
        <w:pStyle w:val="8"/>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（三）测试运行：120天-180天</w:t>
      </w:r>
    </w:p>
    <w:p w14:paraId="637626B3">
      <w:pPr>
        <w:pStyle w:val="8"/>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进行现有数据迁移，推行业务部门试运行，收集系统需求优化反馈，并进行功能开发。</w:t>
      </w:r>
    </w:p>
    <w:p w14:paraId="1D441D1B">
      <w:pPr>
        <w:pStyle w:val="20"/>
        <w:adjustRightInd w:val="0"/>
        <w:snapToGrid w:val="0"/>
        <w:spacing w:before="0" w:beforeAutospacing="0" w:after="0" w:afterAutospacing="0" w:line="560" w:lineRule="exact"/>
        <w:ind w:firstLine="480"/>
        <w:rPr>
          <w:rFonts w:ascii="方正仿宋_GBK" w:hAnsi="方正仿宋_GBK" w:eastAsia="方正仿宋_GBK" w:cs="方正仿宋_GBK"/>
          <w:color w:val="000000"/>
          <w:sz w:val="32"/>
          <w:szCs w:val="32"/>
          <w:shd w:val="clear" w:color="auto" w:fill="FFFF00"/>
        </w:rPr>
      </w:pPr>
      <w:r>
        <w:rPr>
          <w:rFonts w:hint="eastAsia" w:ascii="方正仿宋_GBK" w:hAnsi="方正仿宋_GBK" w:eastAsia="方正仿宋_GBK" w:cs="方正仿宋_GBK"/>
          <w:sz w:val="32"/>
          <w:szCs w:val="32"/>
        </w:rPr>
        <w:t>该阶段需要测试不少于2人。</w:t>
      </w:r>
    </w:p>
    <w:p w14:paraId="42885B21">
      <w:pPr>
        <w:pStyle w:val="8"/>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（四）功能上线与优化反馈：180天-210天</w:t>
      </w:r>
    </w:p>
    <w:p w14:paraId="3D072470">
      <w:pPr>
        <w:pStyle w:val="8"/>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功能上线平稳运行，梳理部分优化需求。</w:t>
      </w:r>
    </w:p>
    <w:p w14:paraId="38A60949">
      <w:pPr>
        <w:pStyle w:val="20"/>
        <w:adjustRightInd w:val="0"/>
        <w:snapToGrid w:val="0"/>
        <w:spacing w:before="0" w:beforeAutospacing="0" w:after="0" w:afterAutospacing="0" w:line="560" w:lineRule="exact"/>
        <w:ind w:firstLine="480"/>
        <w:rPr>
          <w:rFonts w:ascii="方正仿宋_GBK" w:hAnsi="方正仿宋_GBK" w:eastAsia="方正仿宋_GBK" w:cs="方正仿宋_GBK"/>
          <w:color w:val="000000"/>
          <w:sz w:val="32"/>
          <w:szCs w:val="32"/>
          <w:shd w:val="clear" w:color="auto" w:fill="FFFF00"/>
        </w:rPr>
      </w:pPr>
      <w:r>
        <w:rPr>
          <w:rFonts w:hint="eastAsia" w:ascii="方正仿宋_GBK" w:hAnsi="方正仿宋_GBK" w:eastAsia="方正仿宋_GBK" w:cs="方正仿宋_GBK"/>
          <w:sz w:val="32"/>
          <w:szCs w:val="32"/>
        </w:rPr>
        <w:t>该阶段需要后端开发不少于2人、前端开发不少于1人、测试不少于1人、产品经理不少于1人、UI设计不少于1人，全栈开发不少于1人。</w:t>
      </w:r>
    </w:p>
    <w:p w14:paraId="3DC0A8A5">
      <w:pPr>
        <w:pStyle w:val="8"/>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（五）运维阶段：提供至少一个全栈开发（与系统开发所需语言相同）、一个产品经理、一个运维进行混合式运维提供，定期维护更新报告，做好系统建设的需求、BUG台账。提供3年系统运维服务。</w:t>
      </w:r>
    </w:p>
    <w:p w14:paraId="713003BD">
      <w:pPr>
        <w:pStyle w:val="8"/>
        <w:spacing w:line="560" w:lineRule="exact"/>
        <w:ind w:firstLine="64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（六）服务时间：7X24小时全天候运维支持。</w:t>
      </w:r>
    </w:p>
    <w:p w14:paraId="1ED9D242">
      <w:pPr>
        <w:pStyle w:val="8"/>
        <w:spacing w:line="560" w:lineRule="exact"/>
        <w:ind w:firstLine="64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（七）运维服务内容如下：</w:t>
      </w:r>
    </w:p>
    <w:p w14:paraId="65B8724E">
      <w:pPr>
        <w:pStyle w:val="8"/>
        <w:spacing w:line="560" w:lineRule="exact"/>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xml:space="preserve">   1. 系统监控：实时监控服务器运行状态，及时发现和处理异常。</w:t>
      </w:r>
    </w:p>
    <w:p w14:paraId="59947EAE">
      <w:pPr>
        <w:pStyle w:val="8"/>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2.故障处理：在系统出现故障时，立即响应并修复，确保系统稳定运行。</w:t>
      </w:r>
    </w:p>
    <w:p w14:paraId="195DC783">
      <w:pPr>
        <w:pStyle w:val="8"/>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3.性能优化：定期进行系统性能分析和优化，提升系统效率。</w:t>
      </w:r>
    </w:p>
    <w:p w14:paraId="3DD4022D">
      <w:pPr>
        <w:pStyle w:val="8"/>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4.安全维护：定期更新安全补丁，防范网络攻击，保障数据安全。</w:t>
      </w:r>
    </w:p>
    <w:p w14:paraId="5766705B">
      <w:pPr>
        <w:pStyle w:val="8"/>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5.数据备份：定期备份数据库和关键数据，提供数据恢复支持。</w:t>
      </w:r>
    </w:p>
    <w:p w14:paraId="4B1B8981">
      <w:pPr>
        <w:pStyle w:val="8"/>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6.技术支持：提供技术咨询和问题解答、数据提取，协助甲方解决使用过程中遇到的问题。</w:t>
      </w:r>
    </w:p>
    <w:p w14:paraId="3A55DBD6">
      <w:pPr>
        <w:pStyle w:val="8"/>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（八）系统建设的数据提取、专利撰写、论文协助支持</w:t>
      </w:r>
    </w:p>
    <w:p w14:paraId="2F1DEE66">
      <w:pPr>
        <w:pStyle w:val="8"/>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1.科研支持：协助软件科研成果转化、软件著作、专利撰写、申请、研究论文发布等。</w:t>
      </w:r>
    </w:p>
    <w:p w14:paraId="6AB946E5">
      <w:pPr>
        <w:pStyle w:val="8"/>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2.知识产权：个性化开发部分归属医院自有产权，协助医院进行成果转化等。</w:t>
      </w:r>
    </w:p>
    <w:p w14:paraId="0D549384">
      <w:pPr>
        <w:pStyle w:val="4"/>
        <w:spacing w:beforeAutospacing="0" w:afterAutospacing="0"/>
        <w:jc w:val="both"/>
        <w:rPr>
          <w:rFonts w:hint="default" w:ascii="宋体-简" w:hAnsi="宋体-简" w:eastAsia="宋体-简" w:cs="宋体-简"/>
          <w:color w:val="000000"/>
          <w:sz w:val="24"/>
          <w:szCs w:val="24"/>
        </w:rPr>
      </w:pPr>
      <w:r>
        <w:rPr>
          <w:rFonts w:ascii="宋体-简" w:hAnsi="宋体-简" w:eastAsia="宋体-简" w:cs="宋体-简"/>
          <w:color w:val="000000"/>
          <w:sz w:val="24"/>
          <w:szCs w:val="24"/>
        </w:rPr>
        <w:t> </w:t>
      </w:r>
    </w:p>
    <w:p w14:paraId="2B836660">
      <w:pPr>
        <w:pStyle w:val="4"/>
        <w:spacing w:beforeAutospacing="0" w:afterAutospacing="0"/>
        <w:jc w:val="both"/>
        <w:rPr>
          <w:rFonts w:hint="default" w:ascii="宋体-简" w:hAnsi="宋体-简" w:eastAsia="宋体-简" w:cs="宋体-简"/>
          <w:color w:val="000000"/>
          <w:sz w:val="24"/>
          <w:szCs w:val="24"/>
        </w:rPr>
      </w:pPr>
    </w:p>
    <w:p w14:paraId="425A2A79">
      <w:pPr>
        <w:pStyle w:val="4"/>
        <w:spacing w:beforeAutospacing="0" w:afterAutospacing="0"/>
        <w:jc w:val="both"/>
        <w:rPr>
          <w:rFonts w:hint="default" w:ascii="宋体-简" w:hAnsi="宋体-简" w:eastAsia="宋体-简" w:cs="宋体-简"/>
          <w:color w:val="000000"/>
          <w:sz w:val="24"/>
          <w:szCs w:val="24"/>
        </w:rPr>
      </w:pPr>
    </w:p>
    <w:p w14:paraId="4B63E3CD">
      <w:pPr>
        <w:pStyle w:val="4"/>
        <w:spacing w:beforeAutospacing="0" w:afterAutospacing="0"/>
        <w:jc w:val="both"/>
        <w:rPr>
          <w:rFonts w:hint="default" w:ascii="宋体-简" w:hAnsi="宋体-简" w:eastAsia="宋体-简" w:cs="宋体-简"/>
          <w:color w:val="000000"/>
          <w:sz w:val="24"/>
          <w:szCs w:val="24"/>
        </w:rPr>
      </w:pPr>
    </w:p>
    <w:p w14:paraId="2D220E33">
      <w:pPr>
        <w:pStyle w:val="4"/>
        <w:spacing w:beforeAutospacing="0" w:afterAutospacing="0"/>
        <w:jc w:val="both"/>
        <w:rPr>
          <w:rFonts w:hint="default" w:ascii="宋体-简" w:hAnsi="宋体-简" w:eastAsia="宋体-简" w:cs="宋体-简"/>
          <w:color w:val="000000"/>
          <w:sz w:val="24"/>
          <w:szCs w:val="24"/>
        </w:rPr>
      </w:pPr>
    </w:p>
    <w:p w14:paraId="40C9527D">
      <w:pPr>
        <w:pStyle w:val="4"/>
        <w:spacing w:beforeAutospacing="0" w:afterAutospacing="0"/>
        <w:jc w:val="both"/>
        <w:rPr>
          <w:rFonts w:hint="default" w:ascii="宋体-简" w:hAnsi="宋体-简" w:eastAsia="宋体-简" w:cs="宋体-简"/>
          <w:color w:val="000000"/>
          <w:sz w:val="24"/>
          <w:szCs w:val="24"/>
        </w:rPr>
      </w:pPr>
    </w:p>
    <w:p w14:paraId="554FFE36">
      <w:pPr>
        <w:pStyle w:val="4"/>
        <w:spacing w:beforeAutospacing="0" w:afterAutospacing="0"/>
        <w:jc w:val="both"/>
        <w:rPr>
          <w:rFonts w:hint="default" w:ascii="宋体-简" w:hAnsi="宋体-简" w:eastAsia="宋体-简" w:cs="宋体-简"/>
          <w:color w:val="000000"/>
          <w:sz w:val="24"/>
          <w:szCs w:val="24"/>
        </w:rPr>
      </w:pPr>
    </w:p>
    <w:p w14:paraId="3553A870">
      <w:pPr>
        <w:pStyle w:val="4"/>
        <w:spacing w:beforeAutospacing="0" w:afterAutospacing="0"/>
        <w:jc w:val="both"/>
        <w:rPr>
          <w:rFonts w:hint="default" w:ascii="宋体-简" w:hAnsi="宋体-简" w:eastAsia="宋体-简" w:cs="宋体-简"/>
          <w:color w:val="000000"/>
          <w:sz w:val="24"/>
          <w:szCs w:val="24"/>
        </w:rPr>
      </w:pPr>
    </w:p>
    <w:p w14:paraId="1D9A0BC3">
      <w:pPr>
        <w:pStyle w:val="4"/>
        <w:spacing w:beforeAutospacing="0" w:afterAutospacing="0"/>
        <w:jc w:val="both"/>
        <w:rPr>
          <w:rFonts w:hint="default" w:ascii="宋体-简" w:hAnsi="宋体-简" w:eastAsia="宋体-简" w:cs="宋体-简"/>
          <w:color w:val="000000"/>
          <w:sz w:val="24"/>
          <w:szCs w:val="24"/>
        </w:rPr>
      </w:pPr>
    </w:p>
    <w:p w14:paraId="7FA018FB">
      <w:pPr>
        <w:pStyle w:val="4"/>
        <w:spacing w:beforeAutospacing="0" w:afterAutospacing="0"/>
        <w:jc w:val="both"/>
        <w:rPr>
          <w:rFonts w:hint="default" w:ascii="宋体-简" w:hAnsi="宋体-简" w:eastAsia="宋体-简" w:cs="宋体-简"/>
          <w:color w:val="000000"/>
          <w:sz w:val="24"/>
          <w:szCs w:val="24"/>
        </w:rPr>
      </w:pPr>
    </w:p>
    <w:p w14:paraId="01D4D9A1">
      <w:pPr>
        <w:pStyle w:val="4"/>
        <w:spacing w:beforeAutospacing="0" w:afterAutospacing="0"/>
        <w:jc w:val="both"/>
        <w:rPr>
          <w:rFonts w:hint="default"/>
        </w:rPr>
      </w:pPr>
      <w:r>
        <w:rPr>
          <w:rFonts w:ascii="宋体-简" w:hAnsi="宋体-简" w:eastAsia="宋体-简" w:cs="宋体-简"/>
          <w:color w:val="000000"/>
          <w:sz w:val="24"/>
          <w:szCs w:val="24"/>
        </w:rPr>
        <w:t>附件：</w:t>
      </w:r>
    </w:p>
    <w:p w14:paraId="6C26A5DE">
      <w:pPr>
        <w:pStyle w:val="4"/>
        <w:numPr>
          <w:ilvl w:val="0"/>
          <w:numId w:val="3"/>
        </w:numPr>
        <w:spacing w:beforeAutospacing="0" w:afterAutospacing="0"/>
        <w:jc w:val="both"/>
        <w:rPr>
          <w:rFonts w:hint="default"/>
        </w:rPr>
      </w:pPr>
      <w:r>
        <w:rPr>
          <w:rFonts w:ascii="宋体-简" w:hAnsi="宋体-简" w:eastAsia="宋体-简" w:cs="宋体-简"/>
          <w:color w:val="000000"/>
          <w:sz w:val="24"/>
          <w:szCs w:val="24"/>
        </w:rPr>
        <w:t>项目人员月度考核说明</w:t>
      </w:r>
    </w:p>
    <w:p w14:paraId="4877CCE6">
      <w:pPr>
        <w:pStyle w:val="4"/>
        <w:spacing w:beforeAutospacing="0" w:afterAutospacing="0"/>
        <w:jc w:val="both"/>
        <w:rPr>
          <w:rFonts w:hint="default"/>
        </w:rPr>
      </w:pPr>
      <w:r>
        <w:rPr>
          <w:rFonts w:ascii="宋体-简" w:hAnsi="宋体-简" w:eastAsia="宋体-简" w:cs="宋体-简"/>
          <w:color w:val="1A1A1A"/>
          <w:sz w:val="24"/>
          <w:szCs w:val="24"/>
        </w:rPr>
        <w:t> </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02"/>
        <w:gridCol w:w="1255"/>
        <w:gridCol w:w="4427"/>
        <w:gridCol w:w="798"/>
        <w:gridCol w:w="873"/>
        <w:gridCol w:w="636"/>
      </w:tblGrid>
      <w:tr w14:paraId="4704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350" w:type="pct"/>
            <w:shd w:val="clear" w:color="auto" w:fill="auto"/>
            <w:tcMar>
              <w:top w:w="0" w:type="dxa"/>
              <w:left w:w="144" w:type="dxa"/>
              <w:bottom w:w="0" w:type="dxa"/>
              <w:right w:w="144" w:type="dxa"/>
            </w:tcMar>
            <w:vAlign w:val="center"/>
          </w:tcPr>
          <w:p w14:paraId="688056A5">
            <w:pPr>
              <w:pStyle w:val="12"/>
              <w:widowControl/>
              <w:spacing w:beforeAutospacing="0" w:afterAutospacing="0"/>
              <w:jc w:val="center"/>
            </w:pPr>
            <w:r>
              <w:rPr>
                <w:rFonts w:hint="eastAsia" w:ascii="宋体-简" w:hAnsi="宋体-简" w:eastAsia="宋体-简" w:cs="宋体-简"/>
                <w:b/>
                <w:bCs/>
                <w:color w:val="000000"/>
              </w:rPr>
              <w:t>序号</w:t>
            </w:r>
          </w:p>
        </w:tc>
        <w:tc>
          <w:tcPr>
            <w:tcW w:w="730" w:type="pct"/>
            <w:shd w:val="clear" w:color="auto" w:fill="auto"/>
            <w:tcMar>
              <w:top w:w="0" w:type="dxa"/>
              <w:left w:w="144" w:type="dxa"/>
              <w:bottom w:w="0" w:type="dxa"/>
              <w:right w:w="144" w:type="dxa"/>
            </w:tcMar>
            <w:vAlign w:val="center"/>
          </w:tcPr>
          <w:p w14:paraId="4544855A">
            <w:pPr>
              <w:pStyle w:val="12"/>
              <w:widowControl/>
              <w:spacing w:beforeAutospacing="0" w:afterAutospacing="0"/>
              <w:jc w:val="center"/>
            </w:pPr>
            <w:r>
              <w:rPr>
                <w:rFonts w:hint="eastAsia" w:ascii="宋体-简" w:hAnsi="宋体-简" w:eastAsia="宋体-简" w:cs="宋体-简"/>
                <w:b/>
                <w:bCs/>
                <w:color w:val="000000"/>
              </w:rPr>
              <w:t>考核维度</w:t>
            </w:r>
          </w:p>
        </w:tc>
        <w:tc>
          <w:tcPr>
            <w:tcW w:w="2575" w:type="pct"/>
            <w:shd w:val="clear" w:color="auto" w:fill="auto"/>
            <w:tcMar>
              <w:top w:w="0" w:type="dxa"/>
              <w:left w:w="144" w:type="dxa"/>
              <w:bottom w:w="0" w:type="dxa"/>
              <w:right w:w="144" w:type="dxa"/>
            </w:tcMar>
            <w:vAlign w:val="center"/>
          </w:tcPr>
          <w:p w14:paraId="4E22C39E">
            <w:pPr>
              <w:pStyle w:val="12"/>
              <w:widowControl/>
              <w:spacing w:beforeAutospacing="0" w:afterAutospacing="0"/>
              <w:jc w:val="center"/>
            </w:pPr>
            <w:r>
              <w:rPr>
                <w:rFonts w:hint="eastAsia" w:ascii="宋体-简" w:hAnsi="宋体-简" w:eastAsia="宋体-简" w:cs="宋体-简"/>
                <w:b/>
                <w:bCs/>
                <w:color w:val="000000"/>
              </w:rPr>
              <w:t>考核内容说明</w:t>
            </w:r>
          </w:p>
        </w:tc>
        <w:tc>
          <w:tcPr>
            <w:tcW w:w="464" w:type="pct"/>
            <w:shd w:val="clear" w:color="auto" w:fill="auto"/>
            <w:tcMar>
              <w:top w:w="0" w:type="dxa"/>
              <w:left w:w="144" w:type="dxa"/>
              <w:bottom w:w="0" w:type="dxa"/>
              <w:right w:w="144" w:type="dxa"/>
            </w:tcMar>
            <w:vAlign w:val="center"/>
          </w:tcPr>
          <w:p w14:paraId="51680B54">
            <w:pPr>
              <w:pStyle w:val="12"/>
              <w:widowControl/>
              <w:spacing w:beforeAutospacing="0" w:afterAutospacing="0"/>
              <w:jc w:val="center"/>
            </w:pPr>
            <w:r>
              <w:rPr>
                <w:rFonts w:hint="eastAsia" w:ascii="宋体-简" w:hAnsi="宋体-简" w:eastAsia="宋体-简" w:cs="宋体-简"/>
                <w:b/>
                <w:bCs/>
                <w:color w:val="000000"/>
              </w:rPr>
              <w:t>满分</w:t>
            </w:r>
          </w:p>
        </w:tc>
        <w:tc>
          <w:tcPr>
            <w:tcW w:w="508" w:type="pct"/>
            <w:shd w:val="clear" w:color="auto" w:fill="auto"/>
            <w:tcMar>
              <w:top w:w="0" w:type="dxa"/>
              <w:left w:w="144" w:type="dxa"/>
              <w:bottom w:w="0" w:type="dxa"/>
              <w:right w:w="144" w:type="dxa"/>
            </w:tcMar>
            <w:vAlign w:val="center"/>
          </w:tcPr>
          <w:p w14:paraId="30CC3B35">
            <w:pPr>
              <w:pStyle w:val="12"/>
              <w:widowControl/>
              <w:spacing w:beforeAutospacing="0" w:afterAutospacing="0"/>
              <w:jc w:val="center"/>
            </w:pPr>
            <w:r>
              <w:rPr>
                <w:rFonts w:hint="eastAsia" w:ascii="宋体-简" w:hAnsi="宋体-简" w:eastAsia="宋体-简" w:cs="宋体-简"/>
                <w:b/>
                <w:bCs/>
                <w:color w:val="000000"/>
              </w:rPr>
              <w:t>得分</w:t>
            </w:r>
          </w:p>
        </w:tc>
        <w:tc>
          <w:tcPr>
            <w:tcW w:w="370" w:type="pct"/>
            <w:shd w:val="clear" w:color="auto" w:fill="auto"/>
            <w:tcMar>
              <w:top w:w="0" w:type="dxa"/>
              <w:left w:w="144" w:type="dxa"/>
              <w:bottom w:w="0" w:type="dxa"/>
              <w:right w:w="144" w:type="dxa"/>
            </w:tcMar>
            <w:vAlign w:val="center"/>
          </w:tcPr>
          <w:p w14:paraId="5183B344">
            <w:pPr>
              <w:pStyle w:val="12"/>
              <w:widowControl/>
              <w:spacing w:beforeAutospacing="0" w:afterAutospacing="0"/>
              <w:jc w:val="center"/>
            </w:pPr>
            <w:r>
              <w:rPr>
                <w:rFonts w:hint="eastAsia" w:ascii="宋体-简" w:hAnsi="宋体-简" w:eastAsia="宋体-简" w:cs="宋体-简"/>
                <w:b/>
                <w:bCs/>
                <w:color w:val="000000"/>
              </w:rPr>
              <w:t>备注</w:t>
            </w:r>
          </w:p>
        </w:tc>
      </w:tr>
      <w:tr w14:paraId="608C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350" w:type="pct"/>
            <w:shd w:val="clear" w:color="auto" w:fill="auto"/>
            <w:tcMar>
              <w:top w:w="0" w:type="dxa"/>
              <w:left w:w="144" w:type="dxa"/>
              <w:bottom w:w="0" w:type="dxa"/>
              <w:right w:w="144" w:type="dxa"/>
            </w:tcMar>
            <w:vAlign w:val="center"/>
          </w:tcPr>
          <w:p w14:paraId="16D30EE6">
            <w:pPr>
              <w:pStyle w:val="12"/>
              <w:widowControl/>
              <w:spacing w:beforeAutospacing="0" w:afterAutospacing="0"/>
              <w:jc w:val="both"/>
            </w:pPr>
            <w:r>
              <w:rPr>
                <w:rFonts w:hint="eastAsia" w:ascii="宋体-简" w:hAnsi="宋体-简" w:eastAsia="宋体-简" w:cs="宋体-简"/>
                <w:color w:val="000000"/>
              </w:rPr>
              <w:t>1</w:t>
            </w:r>
          </w:p>
        </w:tc>
        <w:tc>
          <w:tcPr>
            <w:tcW w:w="730" w:type="pct"/>
            <w:shd w:val="clear" w:color="auto" w:fill="auto"/>
            <w:tcMar>
              <w:top w:w="0" w:type="dxa"/>
              <w:left w:w="144" w:type="dxa"/>
              <w:bottom w:w="0" w:type="dxa"/>
              <w:right w:w="144" w:type="dxa"/>
            </w:tcMar>
            <w:vAlign w:val="center"/>
          </w:tcPr>
          <w:p w14:paraId="2197DB68">
            <w:pPr>
              <w:pStyle w:val="12"/>
              <w:widowControl/>
              <w:spacing w:beforeAutospacing="0" w:afterAutospacing="0"/>
              <w:jc w:val="both"/>
            </w:pPr>
            <w:r>
              <w:rPr>
                <w:rFonts w:hint="eastAsia" w:ascii="宋体-简" w:hAnsi="宋体-简" w:eastAsia="宋体-简" w:cs="宋体-简"/>
                <w:color w:val="000000"/>
              </w:rPr>
              <w:t>作息时间</w:t>
            </w:r>
          </w:p>
        </w:tc>
        <w:tc>
          <w:tcPr>
            <w:tcW w:w="2575" w:type="pct"/>
            <w:shd w:val="clear" w:color="auto" w:fill="auto"/>
            <w:tcMar>
              <w:top w:w="0" w:type="dxa"/>
              <w:left w:w="144" w:type="dxa"/>
              <w:bottom w:w="0" w:type="dxa"/>
              <w:right w:w="144" w:type="dxa"/>
            </w:tcMar>
            <w:vAlign w:val="center"/>
          </w:tcPr>
          <w:p w14:paraId="7AE7F985">
            <w:pPr>
              <w:pStyle w:val="12"/>
              <w:widowControl/>
              <w:spacing w:beforeAutospacing="0" w:afterAutospacing="0"/>
              <w:jc w:val="both"/>
            </w:pPr>
            <w:r>
              <w:rPr>
                <w:rFonts w:hint="eastAsia" w:ascii="宋体-简" w:hAnsi="宋体-简" w:eastAsia="宋体-简" w:cs="宋体-简"/>
                <w:color w:val="000000"/>
              </w:rPr>
              <w:t>满足合同要求，驻场人员按时上下班。</w:t>
            </w:r>
          </w:p>
          <w:p w14:paraId="394773BC">
            <w:pPr>
              <w:pStyle w:val="12"/>
              <w:widowControl/>
              <w:spacing w:beforeAutospacing="0" w:afterAutospacing="0"/>
              <w:jc w:val="both"/>
            </w:pPr>
            <w:r>
              <w:rPr>
                <w:rFonts w:hint="eastAsia" w:ascii="宋体-简" w:hAnsi="宋体-简" w:eastAsia="宋体-简" w:cs="宋体-简"/>
                <w:color w:val="000000"/>
              </w:rPr>
              <w:t>• 迟到/早退：每次扣 5 分</w:t>
            </w:r>
          </w:p>
          <w:p w14:paraId="579FBC1B">
            <w:pPr>
              <w:pStyle w:val="12"/>
              <w:widowControl/>
              <w:spacing w:beforeAutospacing="0" w:afterAutospacing="0"/>
              <w:jc w:val="both"/>
            </w:pPr>
            <w:r>
              <w:rPr>
                <w:rFonts w:hint="eastAsia" w:ascii="宋体-简" w:hAnsi="宋体-简" w:eastAsia="宋体-简" w:cs="宋体-简"/>
                <w:color w:val="000000"/>
              </w:rPr>
              <w:t>• 旷工：每天扣 10 分</w:t>
            </w:r>
          </w:p>
        </w:tc>
        <w:tc>
          <w:tcPr>
            <w:tcW w:w="464" w:type="pct"/>
            <w:shd w:val="clear" w:color="auto" w:fill="auto"/>
            <w:tcMar>
              <w:top w:w="0" w:type="dxa"/>
              <w:left w:w="144" w:type="dxa"/>
              <w:bottom w:w="0" w:type="dxa"/>
              <w:right w:w="144" w:type="dxa"/>
            </w:tcMar>
            <w:vAlign w:val="center"/>
          </w:tcPr>
          <w:p w14:paraId="3FD34D32">
            <w:pPr>
              <w:pStyle w:val="12"/>
              <w:widowControl/>
              <w:spacing w:beforeAutospacing="0" w:afterAutospacing="0"/>
              <w:jc w:val="both"/>
            </w:pPr>
            <w:r>
              <w:rPr>
                <w:rFonts w:hint="eastAsia" w:ascii="宋体-简" w:hAnsi="宋体-简" w:eastAsia="宋体-简" w:cs="宋体-简"/>
                <w:color w:val="000000"/>
              </w:rPr>
              <w:t>20</w:t>
            </w:r>
          </w:p>
        </w:tc>
        <w:tc>
          <w:tcPr>
            <w:tcW w:w="508" w:type="pct"/>
            <w:shd w:val="clear" w:color="auto" w:fill="auto"/>
            <w:tcMar>
              <w:top w:w="0" w:type="dxa"/>
              <w:left w:w="144" w:type="dxa"/>
              <w:bottom w:w="0" w:type="dxa"/>
              <w:right w:w="144" w:type="dxa"/>
            </w:tcMar>
            <w:vAlign w:val="center"/>
          </w:tcPr>
          <w:p w14:paraId="6C0FA5D2">
            <w:pPr>
              <w:pStyle w:val="12"/>
              <w:widowControl/>
              <w:spacing w:beforeAutospacing="0" w:afterAutospacing="0"/>
              <w:jc w:val="both"/>
            </w:pPr>
            <w:r>
              <w:rPr>
                <w:rFonts w:hint="eastAsia" w:ascii="宋体-简" w:hAnsi="宋体-简" w:eastAsia="宋体-简" w:cs="宋体-简"/>
                <w:color w:val="000000"/>
              </w:rPr>
              <w:t> </w:t>
            </w:r>
          </w:p>
        </w:tc>
        <w:tc>
          <w:tcPr>
            <w:tcW w:w="370" w:type="pct"/>
            <w:shd w:val="clear" w:color="auto" w:fill="auto"/>
            <w:tcMar>
              <w:top w:w="0" w:type="dxa"/>
              <w:left w:w="144" w:type="dxa"/>
              <w:bottom w:w="0" w:type="dxa"/>
              <w:right w:w="144" w:type="dxa"/>
            </w:tcMar>
            <w:vAlign w:val="center"/>
          </w:tcPr>
          <w:p w14:paraId="47C09FF7">
            <w:pPr>
              <w:pStyle w:val="12"/>
              <w:widowControl/>
              <w:spacing w:beforeAutospacing="0" w:afterAutospacing="0"/>
              <w:jc w:val="both"/>
            </w:pPr>
            <w:r>
              <w:rPr>
                <w:rFonts w:hint="eastAsia" w:ascii="宋体-简" w:hAnsi="宋体-简" w:eastAsia="宋体-简" w:cs="宋体-简"/>
                <w:color w:val="000000"/>
              </w:rPr>
              <w:t> </w:t>
            </w:r>
          </w:p>
        </w:tc>
      </w:tr>
      <w:tr w14:paraId="0390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350" w:type="pct"/>
            <w:shd w:val="clear" w:color="auto" w:fill="auto"/>
            <w:tcMar>
              <w:top w:w="0" w:type="dxa"/>
              <w:left w:w="144" w:type="dxa"/>
              <w:bottom w:w="0" w:type="dxa"/>
              <w:right w:w="144" w:type="dxa"/>
            </w:tcMar>
            <w:vAlign w:val="center"/>
          </w:tcPr>
          <w:p w14:paraId="6D3B429A">
            <w:pPr>
              <w:pStyle w:val="12"/>
              <w:widowControl/>
              <w:spacing w:beforeAutospacing="0" w:afterAutospacing="0"/>
              <w:jc w:val="both"/>
            </w:pPr>
            <w:r>
              <w:rPr>
                <w:rFonts w:hint="eastAsia" w:ascii="宋体-简" w:hAnsi="宋体-简" w:eastAsia="宋体-简" w:cs="宋体-简"/>
                <w:color w:val="000000"/>
              </w:rPr>
              <w:t>2</w:t>
            </w:r>
          </w:p>
        </w:tc>
        <w:tc>
          <w:tcPr>
            <w:tcW w:w="730" w:type="pct"/>
            <w:shd w:val="clear" w:color="auto" w:fill="auto"/>
            <w:tcMar>
              <w:top w:w="0" w:type="dxa"/>
              <w:left w:w="144" w:type="dxa"/>
              <w:bottom w:w="0" w:type="dxa"/>
              <w:right w:w="144" w:type="dxa"/>
            </w:tcMar>
            <w:vAlign w:val="center"/>
          </w:tcPr>
          <w:p w14:paraId="7E3F8D95">
            <w:pPr>
              <w:pStyle w:val="12"/>
              <w:widowControl/>
              <w:spacing w:beforeAutospacing="0" w:afterAutospacing="0"/>
              <w:jc w:val="both"/>
            </w:pPr>
            <w:r>
              <w:rPr>
                <w:rFonts w:hint="eastAsia" w:ascii="宋体-简" w:hAnsi="宋体-简" w:eastAsia="宋体-简" w:cs="宋体-简"/>
                <w:color w:val="000000"/>
              </w:rPr>
              <w:t>工作态度</w:t>
            </w:r>
          </w:p>
        </w:tc>
        <w:tc>
          <w:tcPr>
            <w:tcW w:w="2575" w:type="pct"/>
            <w:shd w:val="clear" w:color="auto" w:fill="auto"/>
            <w:tcMar>
              <w:top w:w="0" w:type="dxa"/>
              <w:left w:w="144" w:type="dxa"/>
              <w:bottom w:w="0" w:type="dxa"/>
              <w:right w:w="144" w:type="dxa"/>
            </w:tcMar>
            <w:vAlign w:val="center"/>
          </w:tcPr>
          <w:p w14:paraId="01ED744D">
            <w:pPr>
              <w:pStyle w:val="12"/>
              <w:widowControl/>
              <w:spacing w:beforeAutospacing="0" w:afterAutospacing="0"/>
              <w:jc w:val="both"/>
            </w:pPr>
            <w:r>
              <w:rPr>
                <w:rFonts w:hint="eastAsia" w:ascii="宋体-简" w:hAnsi="宋体-简" w:eastAsia="宋体-简" w:cs="宋体-简"/>
                <w:color w:val="000000"/>
              </w:rPr>
              <w:t>积极主动，配合度高，沟通顺畅。</w:t>
            </w:r>
          </w:p>
          <w:p w14:paraId="67307D31">
            <w:pPr>
              <w:pStyle w:val="12"/>
              <w:widowControl/>
              <w:spacing w:beforeAutospacing="0" w:afterAutospacing="0"/>
              <w:jc w:val="both"/>
            </w:pPr>
            <w:r>
              <w:rPr>
                <w:rFonts w:hint="eastAsia" w:ascii="宋体-简" w:hAnsi="宋体-简" w:eastAsia="宋体-简" w:cs="宋体-简"/>
                <w:color w:val="000000"/>
              </w:rPr>
              <w:t>• 处理问题态度恶劣、与采购人争吵、推诿拖延（经采购人确认属实）：每次扣 5 分</w:t>
            </w:r>
          </w:p>
        </w:tc>
        <w:tc>
          <w:tcPr>
            <w:tcW w:w="464" w:type="pct"/>
            <w:shd w:val="clear" w:color="auto" w:fill="auto"/>
            <w:tcMar>
              <w:top w:w="0" w:type="dxa"/>
              <w:left w:w="144" w:type="dxa"/>
              <w:bottom w:w="0" w:type="dxa"/>
              <w:right w:w="144" w:type="dxa"/>
            </w:tcMar>
            <w:vAlign w:val="center"/>
          </w:tcPr>
          <w:p w14:paraId="0BB15467">
            <w:pPr>
              <w:pStyle w:val="12"/>
              <w:widowControl/>
              <w:spacing w:beforeAutospacing="0" w:afterAutospacing="0"/>
              <w:jc w:val="both"/>
            </w:pPr>
            <w:r>
              <w:rPr>
                <w:rFonts w:hint="eastAsia" w:ascii="宋体-简" w:hAnsi="宋体-简" w:eastAsia="宋体-简" w:cs="宋体-简"/>
                <w:color w:val="000000"/>
              </w:rPr>
              <w:t>20</w:t>
            </w:r>
          </w:p>
        </w:tc>
        <w:tc>
          <w:tcPr>
            <w:tcW w:w="508" w:type="pct"/>
            <w:shd w:val="clear" w:color="auto" w:fill="auto"/>
            <w:tcMar>
              <w:top w:w="0" w:type="dxa"/>
              <w:left w:w="144" w:type="dxa"/>
              <w:bottom w:w="0" w:type="dxa"/>
              <w:right w:w="144" w:type="dxa"/>
            </w:tcMar>
            <w:vAlign w:val="center"/>
          </w:tcPr>
          <w:p w14:paraId="34735643">
            <w:pPr>
              <w:pStyle w:val="12"/>
              <w:widowControl/>
              <w:spacing w:beforeAutospacing="0" w:afterAutospacing="0"/>
              <w:jc w:val="both"/>
            </w:pPr>
            <w:r>
              <w:rPr>
                <w:rFonts w:hint="eastAsia" w:ascii="宋体-简" w:hAnsi="宋体-简" w:eastAsia="宋体-简" w:cs="宋体-简"/>
                <w:color w:val="000000"/>
              </w:rPr>
              <w:t> </w:t>
            </w:r>
          </w:p>
        </w:tc>
        <w:tc>
          <w:tcPr>
            <w:tcW w:w="370" w:type="pct"/>
            <w:shd w:val="clear" w:color="auto" w:fill="auto"/>
            <w:tcMar>
              <w:top w:w="0" w:type="dxa"/>
              <w:left w:w="144" w:type="dxa"/>
              <w:bottom w:w="0" w:type="dxa"/>
              <w:right w:w="144" w:type="dxa"/>
            </w:tcMar>
            <w:vAlign w:val="center"/>
          </w:tcPr>
          <w:p w14:paraId="5A438E3B">
            <w:pPr>
              <w:pStyle w:val="12"/>
              <w:widowControl/>
              <w:spacing w:beforeAutospacing="0" w:afterAutospacing="0"/>
              <w:jc w:val="both"/>
            </w:pPr>
            <w:r>
              <w:rPr>
                <w:rFonts w:hint="eastAsia" w:ascii="宋体-简" w:hAnsi="宋体-简" w:eastAsia="宋体-简" w:cs="宋体-简"/>
                <w:color w:val="000000"/>
              </w:rPr>
              <w:t> </w:t>
            </w:r>
          </w:p>
        </w:tc>
      </w:tr>
      <w:tr w14:paraId="47B4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350" w:type="pct"/>
            <w:shd w:val="clear" w:color="auto" w:fill="auto"/>
            <w:tcMar>
              <w:top w:w="0" w:type="dxa"/>
              <w:left w:w="144" w:type="dxa"/>
              <w:bottom w:w="0" w:type="dxa"/>
              <w:right w:w="144" w:type="dxa"/>
            </w:tcMar>
            <w:vAlign w:val="center"/>
          </w:tcPr>
          <w:p w14:paraId="0DB6E78C">
            <w:pPr>
              <w:pStyle w:val="12"/>
              <w:widowControl/>
              <w:spacing w:beforeAutospacing="0" w:afterAutospacing="0"/>
              <w:jc w:val="both"/>
            </w:pPr>
            <w:r>
              <w:rPr>
                <w:rFonts w:hint="eastAsia" w:ascii="宋体-简" w:hAnsi="宋体-简" w:eastAsia="宋体-简" w:cs="宋体-简"/>
                <w:color w:val="000000"/>
              </w:rPr>
              <w:t>3</w:t>
            </w:r>
          </w:p>
        </w:tc>
        <w:tc>
          <w:tcPr>
            <w:tcW w:w="730" w:type="pct"/>
            <w:shd w:val="clear" w:color="auto" w:fill="auto"/>
            <w:tcMar>
              <w:top w:w="0" w:type="dxa"/>
              <w:left w:w="144" w:type="dxa"/>
              <w:bottom w:w="0" w:type="dxa"/>
              <w:right w:w="144" w:type="dxa"/>
            </w:tcMar>
            <w:vAlign w:val="center"/>
          </w:tcPr>
          <w:p w14:paraId="1F002FB5">
            <w:pPr>
              <w:pStyle w:val="12"/>
              <w:widowControl/>
              <w:spacing w:beforeAutospacing="0" w:afterAutospacing="0"/>
              <w:jc w:val="both"/>
            </w:pPr>
            <w:r>
              <w:rPr>
                <w:rFonts w:hint="eastAsia" w:ascii="宋体-简" w:hAnsi="宋体-简" w:eastAsia="宋体-简" w:cs="宋体-简"/>
                <w:color w:val="000000"/>
              </w:rPr>
              <w:t>响应、处理时效</w:t>
            </w:r>
          </w:p>
        </w:tc>
        <w:tc>
          <w:tcPr>
            <w:tcW w:w="2575" w:type="pct"/>
            <w:shd w:val="clear" w:color="auto" w:fill="auto"/>
            <w:tcMar>
              <w:top w:w="0" w:type="dxa"/>
              <w:left w:w="144" w:type="dxa"/>
              <w:bottom w:w="0" w:type="dxa"/>
              <w:right w:w="144" w:type="dxa"/>
            </w:tcMar>
            <w:vAlign w:val="center"/>
          </w:tcPr>
          <w:p w14:paraId="109400C7">
            <w:pPr>
              <w:pStyle w:val="12"/>
              <w:widowControl/>
              <w:spacing w:beforeAutospacing="0" w:afterAutospacing="0"/>
              <w:jc w:val="both"/>
            </w:pPr>
            <w:r>
              <w:rPr>
                <w:rFonts w:hint="eastAsia" w:ascii="宋体-简" w:hAnsi="宋体-简" w:eastAsia="宋体-简" w:cs="宋体-简"/>
                <w:color w:val="000000"/>
              </w:rPr>
              <w:t>问题、需求响应及时，处理迅速。以下每项问题每次扣 5 分：</w:t>
            </w:r>
          </w:p>
          <w:p w14:paraId="6737B392">
            <w:pPr>
              <w:pStyle w:val="12"/>
              <w:widowControl/>
              <w:spacing w:beforeAutospacing="0" w:afterAutospacing="0"/>
              <w:jc w:val="both"/>
            </w:pPr>
            <w:r>
              <w:rPr>
                <w:rFonts w:hint="eastAsia" w:ascii="宋体-简" w:hAnsi="宋体-简" w:eastAsia="宋体-简" w:cs="宋体-简"/>
                <w:color w:val="000000"/>
              </w:rPr>
              <w:t>1. 应用系统因非计划的数据库或自身故障导致宕机超 30 分钟</w:t>
            </w:r>
          </w:p>
          <w:p w14:paraId="0AB8DB67">
            <w:pPr>
              <w:pStyle w:val="12"/>
              <w:widowControl/>
              <w:spacing w:beforeAutospacing="0" w:afterAutospacing="0"/>
              <w:jc w:val="both"/>
            </w:pPr>
            <w:r>
              <w:rPr>
                <w:rFonts w:hint="eastAsia" w:ascii="宋体-简" w:hAnsi="宋体-简" w:eastAsia="宋体-简" w:cs="宋体-简"/>
                <w:color w:val="000000"/>
              </w:rPr>
              <w:t>2. 驻场人员态度恶劣、拒不执行服务内容（经确认）</w:t>
            </w:r>
          </w:p>
          <w:p w14:paraId="363050B2">
            <w:pPr>
              <w:pStyle w:val="12"/>
              <w:widowControl/>
              <w:spacing w:beforeAutospacing="0" w:afterAutospacing="0"/>
              <w:jc w:val="both"/>
            </w:pPr>
            <w:r>
              <w:rPr>
                <w:rFonts w:hint="eastAsia" w:ascii="宋体-简" w:hAnsi="宋体-简" w:eastAsia="宋体-简" w:cs="宋体-简"/>
                <w:color w:val="000000"/>
              </w:rPr>
              <w:t>3. 接口/开发/BUG响应滞后，处理超 15 天仍未完成</w:t>
            </w:r>
          </w:p>
        </w:tc>
        <w:tc>
          <w:tcPr>
            <w:tcW w:w="464" w:type="pct"/>
            <w:shd w:val="clear" w:color="auto" w:fill="auto"/>
            <w:tcMar>
              <w:top w:w="0" w:type="dxa"/>
              <w:left w:w="144" w:type="dxa"/>
              <w:bottom w:w="0" w:type="dxa"/>
              <w:right w:w="144" w:type="dxa"/>
            </w:tcMar>
            <w:vAlign w:val="center"/>
          </w:tcPr>
          <w:p w14:paraId="2B57C69B">
            <w:pPr>
              <w:pStyle w:val="12"/>
              <w:widowControl/>
              <w:spacing w:beforeAutospacing="0" w:afterAutospacing="0"/>
              <w:jc w:val="both"/>
            </w:pPr>
            <w:r>
              <w:rPr>
                <w:rFonts w:hint="eastAsia" w:ascii="宋体-简" w:hAnsi="宋体-简" w:eastAsia="宋体-简" w:cs="宋体-简"/>
                <w:color w:val="000000"/>
              </w:rPr>
              <w:t>30</w:t>
            </w:r>
          </w:p>
        </w:tc>
        <w:tc>
          <w:tcPr>
            <w:tcW w:w="508" w:type="pct"/>
            <w:shd w:val="clear" w:color="auto" w:fill="auto"/>
            <w:tcMar>
              <w:top w:w="0" w:type="dxa"/>
              <w:left w:w="144" w:type="dxa"/>
              <w:bottom w:w="0" w:type="dxa"/>
              <w:right w:w="144" w:type="dxa"/>
            </w:tcMar>
            <w:vAlign w:val="center"/>
          </w:tcPr>
          <w:p w14:paraId="3627C922">
            <w:pPr>
              <w:pStyle w:val="12"/>
              <w:widowControl/>
              <w:spacing w:beforeAutospacing="0" w:afterAutospacing="0"/>
              <w:jc w:val="both"/>
            </w:pPr>
            <w:r>
              <w:rPr>
                <w:rFonts w:hint="eastAsia" w:ascii="宋体-简" w:hAnsi="宋体-简" w:eastAsia="宋体-简" w:cs="宋体-简"/>
                <w:color w:val="000000"/>
              </w:rPr>
              <w:t> </w:t>
            </w:r>
          </w:p>
        </w:tc>
        <w:tc>
          <w:tcPr>
            <w:tcW w:w="370" w:type="pct"/>
            <w:shd w:val="clear" w:color="auto" w:fill="auto"/>
            <w:tcMar>
              <w:top w:w="0" w:type="dxa"/>
              <w:left w:w="144" w:type="dxa"/>
              <w:bottom w:w="0" w:type="dxa"/>
              <w:right w:w="144" w:type="dxa"/>
            </w:tcMar>
            <w:vAlign w:val="center"/>
          </w:tcPr>
          <w:p w14:paraId="32F4B3FC">
            <w:pPr>
              <w:pStyle w:val="12"/>
              <w:widowControl/>
              <w:spacing w:beforeAutospacing="0" w:afterAutospacing="0"/>
              <w:jc w:val="both"/>
            </w:pPr>
            <w:r>
              <w:rPr>
                <w:rFonts w:hint="eastAsia" w:ascii="宋体-简" w:hAnsi="宋体-简" w:eastAsia="宋体-简" w:cs="宋体-简"/>
                <w:color w:val="000000"/>
              </w:rPr>
              <w:t> </w:t>
            </w:r>
          </w:p>
        </w:tc>
      </w:tr>
      <w:tr w14:paraId="098A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350" w:type="pct"/>
            <w:shd w:val="clear" w:color="auto" w:fill="auto"/>
            <w:tcMar>
              <w:top w:w="0" w:type="dxa"/>
              <w:left w:w="144" w:type="dxa"/>
              <w:bottom w:w="0" w:type="dxa"/>
              <w:right w:w="144" w:type="dxa"/>
            </w:tcMar>
            <w:vAlign w:val="center"/>
          </w:tcPr>
          <w:p w14:paraId="3C8F2D4A">
            <w:pPr>
              <w:pStyle w:val="12"/>
              <w:widowControl/>
              <w:spacing w:beforeAutospacing="0" w:afterAutospacing="0"/>
              <w:jc w:val="both"/>
            </w:pPr>
            <w:r>
              <w:rPr>
                <w:rFonts w:hint="eastAsia" w:ascii="宋体-简" w:hAnsi="宋体-简" w:eastAsia="宋体-简" w:cs="宋体-简"/>
                <w:color w:val="000000"/>
              </w:rPr>
              <w:t>4</w:t>
            </w:r>
          </w:p>
        </w:tc>
        <w:tc>
          <w:tcPr>
            <w:tcW w:w="730" w:type="pct"/>
            <w:shd w:val="clear" w:color="auto" w:fill="auto"/>
            <w:tcMar>
              <w:top w:w="0" w:type="dxa"/>
              <w:left w:w="144" w:type="dxa"/>
              <w:bottom w:w="0" w:type="dxa"/>
              <w:right w:w="144" w:type="dxa"/>
            </w:tcMar>
            <w:vAlign w:val="center"/>
          </w:tcPr>
          <w:p w14:paraId="385B8816">
            <w:pPr>
              <w:pStyle w:val="12"/>
              <w:widowControl/>
              <w:spacing w:beforeAutospacing="0" w:afterAutospacing="0"/>
              <w:jc w:val="both"/>
            </w:pPr>
            <w:r>
              <w:rPr>
                <w:rFonts w:hint="eastAsia" w:ascii="宋体-简" w:hAnsi="宋体-简" w:eastAsia="宋体-简" w:cs="宋体-简"/>
                <w:color w:val="000000"/>
              </w:rPr>
              <w:t>任务按时完成</w:t>
            </w:r>
          </w:p>
        </w:tc>
        <w:tc>
          <w:tcPr>
            <w:tcW w:w="2575" w:type="pct"/>
            <w:shd w:val="clear" w:color="auto" w:fill="auto"/>
            <w:tcMar>
              <w:top w:w="0" w:type="dxa"/>
              <w:left w:w="144" w:type="dxa"/>
              <w:bottom w:w="0" w:type="dxa"/>
              <w:right w:w="144" w:type="dxa"/>
            </w:tcMar>
            <w:vAlign w:val="center"/>
          </w:tcPr>
          <w:p w14:paraId="4EE6F256">
            <w:pPr>
              <w:pStyle w:val="12"/>
              <w:widowControl/>
              <w:spacing w:beforeAutospacing="0" w:afterAutospacing="0"/>
              <w:jc w:val="both"/>
            </w:pPr>
            <w:r>
              <w:rPr>
                <w:rFonts w:hint="eastAsia" w:ascii="宋体-简" w:hAnsi="宋体-简" w:eastAsia="宋体-简" w:cs="宋体-简"/>
                <w:color w:val="000000"/>
              </w:rPr>
              <w:t>已计划的开发与交付任务按时完成。</w:t>
            </w:r>
          </w:p>
          <w:p w14:paraId="748DA56B">
            <w:pPr>
              <w:pStyle w:val="12"/>
              <w:widowControl/>
              <w:spacing w:beforeAutospacing="0" w:afterAutospacing="0"/>
              <w:jc w:val="both"/>
            </w:pPr>
            <w:r>
              <w:rPr>
                <w:rFonts w:hint="eastAsia" w:ascii="宋体-简" w:hAnsi="宋体-简" w:eastAsia="宋体-简" w:cs="宋体-简"/>
                <w:color w:val="000000"/>
              </w:rPr>
              <w:t>• 每项任务延期：每次扣 10 分</w:t>
            </w:r>
          </w:p>
        </w:tc>
        <w:tc>
          <w:tcPr>
            <w:tcW w:w="464" w:type="pct"/>
            <w:shd w:val="clear" w:color="auto" w:fill="auto"/>
            <w:tcMar>
              <w:top w:w="0" w:type="dxa"/>
              <w:left w:w="144" w:type="dxa"/>
              <w:bottom w:w="0" w:type="dxa"/>
              <w:right w:w="144" w:type="dxa"/>
            </w:tcMar>
            <w:vAlign w:val="center"/>
          </w:tcPr>
          <w:p w14:paraId="12068BD8">
            <w:pPr>
              <w:pStyle w:val="12"/>
              <w:widowControl/>
              <w:spacing w:beforeAutospacing="0" w:afterAutospacing="0"/>
              <w:jc w:val="both"/>
            </w:pPr>
            <w:r>
              <w:rPr>
                <w:rFonts w:hint="eastAsia" w:ascii="宋体-简" w:hAnsi="宋体-简" w:eastAsia="宋体-简" w:cs="宋体-简"/>
                <w:color w:val="000000"/>
              </w:rPr>
              <w:t>20</w:t>
            </w:r>
          </w:p>
        </w:tc>
        <w:tc>
          <w:tcPr>
            <w:tcW w:w="508" w:type="pct"/>
            <w:shd w:val="clear" w:color="auto" w:fill="auto"/>
            <w:tcMar>
              <w:top w:w="0" w:type="dxa"/>
              <w:left w:w="144" w:type="dxa"/>
              <w:bottom w:w="0" w:type="dxa"/>
              <w:right w:w="144" w:type="dxa"/>
            </w:tcMar>
            <w:vAlign w:val="center"/>
          </w:tcPr>
          <w:p w14:paraId="12DE8E18">
            <w:pPr>
              <w:pStyle w:val="12"/>
              <w:widowControl/>
              <w:spacing w:beforeAutospacing="0" w:afterAutospacing="0"/>
              <w:jc w:val="both"/>
            </w:pPr>
            <w:r>
              <w:rPr>
                <w:rFonts w:hint="eastAsia" w:ascii="宋体-简" w:hAnsi="宋体-简" w:eastAsia="宋体-简" w:cs="宋体-简"/>
                <w:color w:val="000000"/>
              </w:rPr>
              <w:t> </w:t>
            </w:r>
          </w:p>
        </w:tc>
        <w:tc>
          <w:tcPr>
            <w:tcW w:w="370" w:type="pct"/>
            <w:shd w:val="clear" w:color="auto" w:fill="auto"/>
            <w:tcMar>
              <w:top w:w="0" w:type="dxa"/>
              <w:left w:w="144" w:type="dxa"/>
              <w:bottom w:w="0" w:type="dxa"/>
              <w:right w:w="144" w:type="dxa"/>
            </w:tcMar>
            <w:vAlign w:val="center"/>
          </w:tcPr>
          <w:p w14:paraId="5700CF0E">
            <w:pPr>
              <w:pStyle w:val="12"/>
              <w:widowControl/>
              <w:spacing w:beforeAutospacing="0" w:afterAutospacing="0"/>
              <w:jc w:val="both"/>
            </w:pPr>
            <w:r>
              <w:rPr>
                <w:rFonts w:hint="eastAsia" w:ascii="宋体-简" w:hAnsi="宋体-简" w:eastAsia="宋体-简" w:cs="宋体-简"/>
                <w:color w:val="000000"/>
              </w:rPr>
              <w:t> </w:t>
            </w:r>
          </w:p>
        </w:tc>
      </w:tr>
      <w:tr w14:paraId="1E9E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350" w:type="pct"/>
            <w:shd w:val="clear" w:color="auto" w:fill="auto"/>
            <w:tcMar>
              <w:top w:w="0" w:type="dxa"/>
              <w:left w:w="144" w:type="dxa"/>
              <w:bottom w:w="0" w:type="dxa"/>
              <w:right w:w="144" w:type="dxa"/>
            </w:tcMar>
            <w:vAlign w:val="center"/>
          </w:tcPr>
          <w:p w14:paraId="73D63C78">
            <w:pPr>
              <w:pStyle w:val="12"/>
              <w:widowControl/>
              <w:spacing w:beforeAutospacing="0" w:afterAutospacing="0"/>
              <w:jc w:val="both"/>
            </w:pPr>
            <w:r>
              <w:rPr>
                <w:rFonts w:hint="eastAsia" w:ascii="宋体-简" w:hAnsi="宋体-简" w:eastAsia="宋体-简" w:cs="宋体-简"/>
                <w:color w:val="000000"/>
              </w:rPr>
              <w:t>5</w:t>
            </w:r>
          </w:p>
        </w:tc>
        <w:tc>
          <w:tcPr>
            <w:tcW w:w="730" w:type="pct"/>
            <w:shd w:val="clear" w:color="auto" w:fill="auto"/>
            <w:tcMar>
              <w:top w:w="0" w:type="dxa"/>
              <w:left w:w="144" w:type="dxa"/>
              <w:bottom w:w="0" w:type="dxa"/>
              <w:right w:w="144" w:type="dxa"/>
            </w:tcMar>
            <w:vAlign w:val="center"/>
          </w:tcPr>
          <w:p w14:paraId="5CD33FB1">
            <w:pPr>
              <w:pStyle w:val="12"/>
              <w:widowControl/>
              <w:spacing w:beforeAutospacing="0" w:afterAutospacing="0"/>
              <w:jc w:val="both"/>
            </w:pPr>
            <w:r>
              <w:rPr>
                <w:rFonts w:hint="eastAsia" w:ascii="宋体-简" w:hAnsi="宋体-简" w:eastAsia="宋体-简" w:cs="宋体-简"/>
                <w:color w:val="000000"/>
              </w:rPr>
              <w:t>沟通与协作</w:t>
            </w:r>
          </w:p>
        </w:tc>
        <w:tc>
          <w:tcPr>
            <w:tcW w:w="2575" w:type="pct"/>
            <w:shd w:val="clear" w:color="auto" w:fill="auto"/>
            <w:tcMar>
              <w:top w:w="0" w:type="dxa"/>
              <w:left w:w="144" w:type="dxa"/>
              <w:bottom w:w="0" w:type="dxa"/>
              <w:right w:w="144" w:type="dxa"/>
            </w:tcMar>
            <w:vAlign w:val="center"/>
          </w:tcPr>
          <w:p w14:paraId="4BFBF8A1">
            <w:pPr>
              <w:pStyle w:val="12"/>
              <w:widowControl/>
              <w:spacing w:beforeAutospacing="0" w:afterAutospacing="0"/>
              <w:jc w:val="both"/>
            </w:pPr>
            <w:r>
              <w:rPr>
                <w:rFonts w:hint="eastAsia" w:ascii="宋体-简" w:hAnsi="宋体-简" w:eastAsia="宋体-简" w:cs="宋体-简"/>
                <w:color w:val="000000"/>
              </w:rPr>
              <w:t>团队协作良好，按要求参会。</w:t>
            </w:r>
          </w:p>
          <w:p w14:paraId="10899458">
            <w:pPr>
              <w:pStyle w:val="12"/>
              <w:widowControl/>
              <w:spacing w:beforeAutospacing="0" w:afterAutospacing="0"/>
              <w:jc w:val="both"/>
            </w:pPr>
            <w:r>
              <w:rPr>
                <w:rFonts w:hint="eastAsia" w:ascii="宋体-简" w:hAnsi="宋体-简" w:eastAsia="宋体-简" w:cs="宋体-简"/>
                <w:color w:val="000000"/>
              </w:rPr>
              <w:t>• 参会迟到、早退或缺席：每次扣 5 分</w:t>
            </w:r>
          </w:p>
        </w:tc>
        <w:tc>
          <w:tcPr>
            <w:tcW w:w="464" w:type="pct"/>
            <w:shd w:val="clear" w:color="auto" w:fill="auto"/>
            <w:tcMar>
              <w:top w:w="0" w:type="dxa"/>
              <w:left w:w="144" w:type="dxa"/>
              <w:bottom w:w="0" w:type="dxa"/>
              <w:right w:w="144" w:type="dxa"/>
            </w:tcMar>
            <w:vAlign w:val="center"/>
          </w:tcPr>
          <w:p w14:paraId="552E728B">
            <w:pPr>
              <w:pStyle w:val="12"/>
              <w:widowControl/>
              <w:spacing w:beforeAutospacing="0" w:afterAutospacing="0"/>
              <w:jc w:val="both"/>
            </w:pPr>
            <w:r>
              <w:rPr>
                <w:rFonts w:hint="eastAsia" w:ascii="宋体-简" w:hAnsi="宋体-简" w:eastAsia="宋体-简" w:cs="宋体-简"/>
                <w:color w:val="000000"/>
              </w:rPr>
              <w:t>10</w:t>
            </w:r>
          </w:p>
        </w:tc>
        <w:tc>
          <w:tcPr>
            <w:tcW w:w="508" w:type="pct"/>
            <w:shd w:val="clear" w:color="auto" w:fill="auto"/>
            <w:tcMar>
              <w:top w:w="0" w:type="dxa"/>
              <w:left w:w="144" w:type="dxa"/>
              <w:bottom w:w="0" w:type="dxa"/>
              <w:right w:w="144" w:type="dxa"/>
            </w:tcMar>
            <w:vAlign w:val="center"/>
          </w:tcPr>
          <w:p w14:paraId="5F910933">
            <w:pPr>
              <w:pStyle w:val="12"/>
              <w:widowControl/>
              <w:spacing w:beforeAutospacing="0" w:afterAutospacing="0"/>
              <w:jc w:val="both"/>
            </w:pPr>
            <w:r>
              <w:rPr>
                <w:rFonts w:hint="eastAsia" w:ascii="宋体-简" w:hAnsi="宋体-简" w:eastAsia="宋体-简" w:cs="宋体-简"/>
                <w:color w:val="000000"/>
              </w:rPr>
              <w:t> </w:t>
            </w:r>
          </w:p>
        </w:tc>
        <w:tc>
          <w:tcPr>
            <w:tcW w:w="370" w:type="pct"/>
            <w:shd w:val="clear" w:color="auto" w:fill="auto"/>
            <w:tcMar>
              <w:top w:w="0" w:type="dxa"/>
              <w:left w:w="144" w:type="dxa"/>
              <w:bottom w:w="0" w:type="dxa"/>
              <w:right w:w="144" w:type="dxa"/>
            </w:tcMar>
            <w:vAlign w:val="center"/>
          </w:tcPr>
          <w:p w14:paraId="56BA2DC8">
            <w:pPr>
              <w:pStyle w:val="12"/>
              <w:widowControl/>
              <w:spacing w:beforeAutospacing="0" w:afterAutospacing="0"/>
              <w:jc w:val="both"/>
            </w:pPr>
            <w:r>
              <w:rPr>
                <w:rFonts w:hint="eastAsia" w:ascii="宋体-简" w:hAnsi="宋体-简" w:eastAsia="宋体-简" w:cs="宋体-简"/>
                <w:color w:val="000000"/>
              </w:rPr>
              <w:t> </w:t>
            </w:r>
          </w:p>
        </w:tc>
      </w:tr>
      <w:tr w14:paraId="27D8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350" w:type="pct"/>
            <w:shd w:val="clear" w:color="auto" w:fill="auto"/>
            <w:tcMar>
              <w:top w:w="0" w:type="dxa"/>
              <w:left w:w="144" w:type="dxa"/>
              <w:bottom w:w="0" w:type="dxa"/>
              <w:right w:w="144" w:type="dxa"/>
            </w:tcMar>
            <w:vAlign w:val="center"/>
          </w:tcPr>
          <w:p w14:paraId="39AAF5D8">
            <w:pPr>
              <w:pStyle w:val="12"/>
              <w:widowControl/>
              <w:spacing w:beforeAutospacing="0" w:afterAutospacing="0"/>
              <w:jc w:val="both"/>
            </w:pPr>
            <w:r>
              <w:rPr>
                <w:rFonts w:hint="eastAsia" w:ascii="宋体-简" w:hAnsi="宋体-简" w:eastAsia="宋体-简" w:cs="宋体-简"/>
                <w:color w:val="000000"/>
              </w:rPr>
              <w:t> </w:t>
            </w:r>
          </w:p>
        </w:tc>
        <w:tc>
          <w:tcPr>
            <w:tcW w:w="730" w:type="pct"/>
            <w:shd w:val="clear" w:color="auto" w:fill="auto"/>
            <w:tcMar>
              <w:top w:w="0" w:type="dxa"/>
              <w:left w:w="144" w:type="dxa"/>
              <w:bottom w:w="0" w:type="dxa"/>
              <w:right w:w="144" w:type="dxa"/>
            </w:tcMar>
            <w:vAlign w:val="center"/>
          </w:tcPr>
          <w:p w14:paraId="24986D89">
            <w:pPr>
              <w:pStyle w:val="12"/>
              <w:widowControl/>
              <w:spacing w:beforeAutospacing="0" w:afterAutospacing="0"/>
              <w:jc w:val="both"/>
            </w:pPr>
            <w:r>
              <w:rPr>
                <w:rFonts w:hint="eastAsia" w:ascii="宋体-简" w:hAnsi="宋体-简" w:eastAsia="宋体-简" w:cs="宋体-简"/>
                <w:b/>
                <w:bCs/>
                <w:color w:val="000000"/>
              </w:rPr>
              <w:t>总分</w:t>
            </w:r>
          </w:p>
        </w:tc>
        <w:tc>
          <w:tcPr>
            <w:tcW w:w="2575" w:type="pct"/>
            <w:shd w:val="clear" w:color="auto" w:fill="auto"/>
            <w:tcMar>
              <w:top w:w="0" w:type="dxa"/>
              <w:left w:w="144" w:type="dxa"/>
              <w:bottom w:w="0" w:type="dxa"/>
              <w:right w:w="144" w:type="dxa"/>
            </w:tcMar>
            <w:vAlign w:val="center"/>
          </w:tcPr>
          <w:p w14:paraId="4CF7FB94">
            <w:pPr>
              <w:pStyle w:val="12"/>
              <w:widowControl/>
              <w:spacing w:beforeAutospacing="0" w:afterAutospacing="0"/>
              <w:jc w:val="both"/>
            </w:pPr>
            <w:r>
              <w:rPr>
                <w:rFonts w:hint="eastAsia" w:ascii="宋体-简" w:hAnsi="宋体-简" w:eastAsia="宋体-简" w:cs="宋体-简"/>
                <w:color w:val="000000"/>
              </w:rPr>
              <w:t> </w:t>
            </w:r>
          </w:p>
        </w:tc>
        <w:tc>
          <w:tcPr>
            <w:tcW w:w="464" w:type="pct"/>
            <w:shd w:val="clear" w:color="auto" w:fill="auto"/>
            <w:tcMar>
              <w:top w:w="0" w:type="dxa"/>
              <w:left w:w="144" w:type="dxa"/>
              <w:bottom w:w="0" w:type="dxa"/>
              <w:right w:w="144" w:type="dxa"/>
            </w:tcMar>
            <w:vAlign w:val="center"/>
          </w:tcPr>
          <w:p w14:paraId="651CCEF6">
            <w:pPr>
              <w:pStyle w:val="12"/>
              <w:widowControl/>
              <w:spacing w:beforeAutospacing="0" w:afterAutospacing="0"/>
              <w:jc w:val="both"/>
            </w:pPr>
            <w:r>
              <w:rPr>
                <w:rFonts w:hint="eastAsia" w:ascii="宋体-简" w:hAnsi="宋体-简" w:eastAsia="宋体-简" w:cs="宋体-简"/>
                <w:color w:val="000000"/>
              </w:rPr>
              <w:t>100</w:t>
            </w:r>
          </w:p>
        </w:tc>
        <w:tc>
          <w:tcPr>
            <w:tcW w:w="508" w:type="pct"/>
            <w:shd w:val="clear" w:color="auto" w:fill="auto"/>
            <w:tcMar>
              <w:top w:w="0" w:type="dxa"/>
              <w:left w:w="144" w:type="dxa"/>
              <w:bottom w:w="0" w:type="dxa"/>
              <w:right w:w="144" w:type="dxa"/>
            </w:tcMar>
            <w:vAlign w:val="center"/>
          </w:tcPr>
          <w:p w14:paraId="721F7ED3">
            <w:pPr>
              <w:pStyle w:val="12"/>
              <w:widowControl/>
              <w:spacing w:beforeAutospacing="0" w:afterAutospacing="0"/>
              <w:jc w:val="both"/>
            </w:pPr>
            <w:r>
              <w:rPr>
                <w:rFonts w:hint="eastAsia" w:ascii="宋体-简" w:hAnsi="宋体-简" w:eastAsia="宋体-简" w:cs="宋体-简"/>
                <w:color w:val="000000"/>
              </w:rPr>
              <w:t> </w:t>
            </w:r>
          </w:p>
        </w:tc>
        <w:tc>
          <w:tcPr>
            <w:tcW w:w="370" w:type="pct"/>
            <w:shd w:val="clear" w:color="auto" w:fill="auto"/>
            <w:tcMar>
              <w:top w:w="0" w:type="dxa"/>
              <w:left w:w="144" w:type="dxa"/>
              <w:bottom w:w="0" w:type="dxa"/>
              <w:right w:w="144" w:type="dxa"/>
            </w:tcMar>
            <w:vAlign w:val="center"/>
          </w:tcPr>
          <w:p w14:paraId="36C61E57">
            <w:pPr>
              <w:pStyle w:val="12"/>
              <w:widowControl/>
              <w:spacing w:beforeAutospacing="0" w:afterAutospacing="0"/>
              <w:jc w:val="both"/>
            </w:pPr>
            <w:r>
              <w:rPr>
                <w:rFonts w:hint="eastAsia" w:ascii="宋体-简" w:hAnsi="宋体-简" w:eastAsia="宋体-简" w:cs="宋体-简"/>
                <w:color w:val="000000"/>
              </w:rPr>
              <w:t> </w:t>
            </w:r>
          </w:p>
        </w:tc>
      </w:tr>
    </w:tbl>
    <w:p w14:paraId="42695B74">
      <w:pPr>
        <w:pStyle w:val="4"/>
        <w:spacing w:beforeAutospacing="0" w:afterAutospacing="0" w:line="23" w:lineRule="atLeast"/>
        <w:jc w:val="both"/>
        <w:rPr>
          <w:rFonts w:hint="default" w:ascii="宋体-简" w:hAnsi="宋体-简" w:eastAsia="宋体-简" w:cs="宋体-简"/>
          <w:color w:val="000000"/>
          <w:sz w:val="24"/>
          <w:szCs w:val="24"/>
        </w:rPr>
      </w:pPr>
    </w:p>
    <w:p w14:paraId="0E0317A0">
      <w:pPr>
        <w:rPr>
          <w:rFonts w:hint="default" w:ascii="宋体" w:hAnsi="宋体" w:eastAsia="宋体" w:cs="Times New Roman"/>
          <w:b/>
          <w:bCs/>
          <w:sz w:val="27"/>
          <w:szCs w:val="27"/>
          <w:lang w:val="en-US" w:eastAsia="zh-CN" w:bidi="ar-SA"/>
        </w:rPr>
      </w:pPr>
      <w:r>
        <w:rPr>
          <w:rFonts w:hint="default" w:ascii="宋体" w:hAnsi="宋体" w:eastAsia="宋体" w:cs="Times New Roman"/>
          <w:b/>
          <w:bCs/>
          <w:sz w:val="27"/>
          <w:szCs w:val="27"/>
          <w:lang w:val="en-US" w:eastAsia="zh-CN" w:bidi="ar-SA"/>
        </w:rPr>
        <w:br w:type="page"/>
      </w:r>
    </w:p>
    <w:p w14:paraId="29E77B79">
      <w:pPr>
        <w:pStyle w:val="4"/>
        <w:numPr>
          <w:ilvl w:val="0"/>
          <w:numId w:val="0"/>
        </w:numPr>
        <w:spacing w:beforeAutospacing="0" w:afterAutospacing="0" w:line="23" w:lineRule="atLeast"/>
        <w:jc w:val="both"/>
        <w:rPr>
          <w:rFonts w:hint="default"/>
          <w:color w:val="auto"/>
        </w:rPr>
      </w:pPr>
      <w:r>
        <w:rPr>
          <w:rFonts w:hint="default" w:ascii="宋体" w:hAnsi="宋体" w:eastAsia="宋体" w:cs="Times New Roman"/>
          <w:b/>
          <w:bCs/>
          <w:color w:val="auto"/>
          <w:sz w:val="27"/>
          <w:szCs w:val="27"/>
          <w:lang w:val="en-US" w:eastAsia="zh-CN" w:bidi="ar-SA"/>
        </w:rPr>
        <w:t>2.</w:t>
      </w:r>
      <w:r>
        <w:rPr>
          <w:rFonts w:ascii="宋体-简" w:hAnsi="宋体-简" w:eastAsia="宋体-简" w:cs="宋体-简"/>
          <w:color w:val="auto"/>
          <w:sz w:val="24"/>
          <w:szCs w:val="24"/>
        </w:rPr>
        <w:t>驻场运维人员月度考核说明（医院信息化场景 — 含网络安全事件扣分）</w:t>
      </w:r>
    </w:p>
    <w:tbl>
      <w:tblPr>
        <w:tblStyle w:val="13"/>
        <w:tblW w:w="0" w:type="auto"/>
        <w:tblInd w:w="0" w:type="dxa"/>
        <w:tblLayout w:type="fixed"/>
        <w:tblCellMar>
          <w:top w:w="15" w:type="dxa"/>
          <w:left w:w="15" w:type="dxa"/>
          <w:bottom w:w="15" w:type="dxa"/>
          <w:right w:w="15" w:type="dxa"/>
        </w:tblCellMar>
      </w:tblPr>
      <w:tblGrid>
        <w:gridCol w:w="570"/>
        <w:gridCol w:w="1315"/>
        <w:gridCol w:w="4376"/>
        <w:gridCol w:w="733"/>
        <w:gridCol w:w="475"/>
        <w:gridCol w:w="1008"/>
      </w:tblGrid>
      <w:tr w14:paraId="13AD18DE">
        <w:tblPrEx>
          <w:tblCellMar>
            <w:top w:w="15" w:type="dxa"/>
            <w:left w:w="15" w:type="dxa"/>
            <w:bottom w:w="15" w:type="dxa"/>
            <w:right w:w="15" w:type="dxa"/>
          </w:tblCellMar>
        </w:tblPrEx>
        <w:trPr>
          <w:trHeight w:val="540" w:hRule="atLeast"/>
        </w:trPr>
        <w:tc>
          <w:tcPr>
            <w:tcW w:w="570" w:type="dxa"/>
            <w:tcBorders>
              <w:top w:val="single" w:color="000000" w:sz="12" w:space="0"/>
              <w:left w:val="single" w:color="000000" w:sz="12" w:space="0"/>
              <w:bottom w:val="single" w:color="000000" w:sz="12" w:space="0"/>
              <w:right w:val="single" w:color="000000" w:sz="12" w:space="0"/>
            </w:tcBorders>
            <w:shd w:val="clear" w:color="auto" w:fill="auto"/>
            <w:tcMar>
              <w:top w:w="0" w:type="dxa"/>
              <w:left w:w="144" w:type="dxa"/>
              <w:bottom w:w="0" w:type="dxa"/>
              <w:right w:w="144" w:type="dxa"/>
            </w:tcMar>
          </w:tcPr>
          <w:p w14:paraId="04D1FDD2">
            <w:pPr>
              <w:pStyle w:val="12"/>
              <w:widowControl/>
              <w:spacing w:beforeAutospacing="0" w:afterAutospacing="0"/>
              <w:jc w:val="both"/>
            </w:pPr>
            <w:r>
              <w:rPr>
                <w:rFonts w:hint="eastAsia" w:ascii="宋体-简" w:hAnsi="宋体-简" w:eastAsia="宋体-简" w:cs="宋体-简"/>
                <w:color w:val="000000"/>
                <w:sz w:val="22"/>
                <w:szCs w:val="22"/>
              </w:rPr>
              <w:t>序号</w:t>
            </w:r>
          </w:p>
        </w:tc>
        <w:tc>
          <w:tcPr>
            <w:tcW w:w="1315" w:type="dxa"/>
            <w:tcBorders>
              <w:top w:val="single" w:color="000000" w:sz="1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236B137F">
            <w:pPr>
              <w:pStyle w:val="12"/>
              <w:widowControl/>
              <w:spacing w:beforeAutospacing="0" w:afterAutospacing="0"/>
              <w:jc w:val="both"/>
            </w:pPr>
            <w:r>
              <w:rPr>
                <w:rFonts w:hint="eastAsia" w:ascii="宋体-简" w:hAnsi="宋体-简" w:eastAsia="宋体-简" w:cs="宋体-简"/>
                <w:color w:val="000000"/>
                <w:sz w:val="22"/>
                <w:szCs w:val="22"/>
              </w:rPr>
              <w:t>考核维度</w:t>
            </w:r>
          </w:p>
        </w:tc>
        <w:tc>
          <w:tcPr>
            <w:tcW w:w="4376" w:type="dxa"/>
            <w:tcBorders>
              <w:top w:val="single" w:color="000000" w:sz="1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0136CD18">
            <w:pPr>
              <w:pStyle w:val="12"/>
              <w:widowControl/>
              <w:spacing w:beforeAutospacing="0" w:afterAutospacing="0"/>
              <w:jc w:val="both"/>
            </w:pPr>
            <w:r>
              <w:rPr>
                <w:rFonts w:hint="eastAsia" w:ascii="宋体-简" w:hAnsi="宋体-简" w:eastAsia="宋体-简" w:cs="宋体-简"/>
                <w:color w:val="000000"/>
                <w:sz w:val="22"/>
                <w:szCs w:val="22"/>
              </w:rPr>
              <w:t>考核内容说明</w:t>
            </w:r>
          </w:p>
        </w:tc>
        <w:tc>
          <w:tcPr>
            <w:tcW w:w="733" w:type="dxa"/>
            <w:tcBorders>
              <w:top w:val="single" w:color="000000" w:sz="1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5D0016F8">
            <w:pPr>
              <w:pStyle w:val="12"/>
              <w:widowControl/>
              <w:spacing w:beforeAutospacing="0" w:afterAutospacing="0"/>
              <w:jc w:val="both"/>
            </w:pPr>
            <w:r>
              <w:rPr>
                <w:rFonts w:hint="eastAsia" w:ascii="宋体-简" w:hAnsi="宋体-简" w:eastAsia="宋体-简" w:cs="宋体-简"/>
                <w:color w:val="000000"/>
                <w:sz w:val="22"/>
                <w:szCs w:val="22"/>
              </w:rPr>
              <w:t>满分</w:t>
            </w:r>
          </w:p>
        </w:tc>
        <w:tc>
          <w:tcPr>
            <w:tcW w:w="475" w:type="dxa"/>
            <w:tcBorders>
              <w:top w:val="single" w:color="000000" w:sz="1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375A1729">
            <w:pPr>
              <w:pStyle w:val="12"/>
              <w:widowControl/>
              <w:spacing w:beforeAutospacing="0" w:afterAutospacing="0"/>
              <w:jc w:val="both"/>
            </w:pPr>
            <w:r>
              <w:rPr>
                <w:rFonts w:hint="eastAsia" w:ascii="宋体-简" w:hAnsi="宋体-简" w:eastAsia="宋体-简" w:cs="宋体-简"/>
                <w:color w:val="000000"/>
                <w:sz w:val="22"/>
                <w:szCs w:val="22"/>
              </w:rPr>
              <w:t>得分</w:t>
            </w:r>
          </w:p>
        </w:tc>
        <w:tc>
          <w:tcPr>
            <w:tcW w:w="1008" w:type="dxa"/>
            <w:tcBorders>
              <w:top w:val="single" w:color="000000" w:sz="1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069A91BE">
            <w:pPr>
              <w:pStyle w:val="12"/>
              <w:widowControl/>
              <w:spacing w:beforeAutospacing="0" w:afterAutospacing="0"/>
              <w:jc w:val="both"/>
            </w:pPr>
            <w:r>
              <w:rPr>
                <w:rFonts w:hint="eastAsia" w:ascii="宋体-简" w:hAnsi="宋体-简" w:eastAsia="宋体-简" w:cs="宋体-简"/>
                <w:color w:val="000000"/>
                <w:sz w:val="22"/>
                <w:szCs w:val="22"/>
              </w:rPr>
              <w:t>备注</w:t>
            </w:r>
          </w:p>
        </w:tc>
      </w:tr>
      <w:tr w14:paraId="3F20CDD0">
        <w:tblPrEx>
          <w:tblCellMar>
            <w:top w:w="15" w:type="dxa"/>
            <w:left w:w="15" w:type="dxa"/>
            <w:bottom w:w="15" w:type="dxa"/>
            <w:right w:w="15" w:type="dxa"/>
          </w:tblCellMar>
        </w:tblPrEx>
        <w:trPr>
          <w:trHeight w:val="540" w:hRule="atLeast"/>
        </w:trPr>
        <w:tc>
          <w:tcPr>
            <w:tcW w:w="570" w:type="dxa"/>
            <w:tcBorders>
              <w:top w:val="single" w:color="000000" w:sz="2" w:space="0"/>
              <w:left w:val="single" w:color="000000" w:sz="12" w:space="0"/>
              <w:bottom w:val="single" w:color="000000" w:sz="12" w:space="0"/>
              <w:right w:val="single" w:color="000000" w:sz="12" w:space="0"/>
            </w:tcBorders>
            <w:shd w:val="clear" w:color="auto" w:fill="auto"/>
            <w:tcMar>
              <w:top w:w="0" w:type="dxa"/>
              <w:left w:w="144" w:type="dxa"/>
              <w:bottom w:w="0" w:type="dxa"/>
              <w:right w:w="144" w:type="dxa"/>
            </w:tcMar>
          </w:tcPr>
          <w:p w14:paraId="5E8369C8">
            <w:pPr>
              <w:pStyle w:val="12"/>
              <w:widowControl/>
              <w:spacing w:beforeAutospacing="0" w:afterAutospacing="0"/>
              <w:jc w:val="both"/>
            </w:pPr>
            <w:r>
              <w:rPr>
                <w:rFonts w:hint="eastAsia" w:ascii="宋体-简" w:hAnsi="宋体-简" w:eastAsia="宋体-简" w:cs="宋体-简"/>
                <w:color w:val="000000"/>
                <w:sz w:val="22"/>
                <w:szCs w:val="22"/>
              </w:rPr>
              <w:t>1</w:t>
            </w:r>
          </w:p>
        </w:tc>
        <w:tc>
          <w:tcPr>
            <w:tcW w:w="1315"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0C993153">
            <w:pPr>
              <w:pStyle w:val="12"/>
              <w:widowControl/>
              <w:spacing w:beforeAutospacing="0" w:afterAutospacing="0"/>
              <w:jc w:val="both"/>
            </w:pPr>
            <w:r>
              <w:rPr>
                <w:rFonts w:hint="eastAsia" w:ascii="宋体-简" w:hAnsi="宋体-简" w:eastAsia="宋体-简" w:cs="宋体-简"/>
                <w:color w:val="000000"/>
                <w:sz w:val="22"/>
                <w:szCs w:val="22"/>
              </w:rPr>
              <w:t>作息与值班纪律</w:t>
            </w:r>
          </w:p>
        </w:tc>
        <w:tc>
          <w:tcPr>
            <w:tcW w:w="4376"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69A69D37">
            <w:pPr>
              <w:pStyle w:val="12"/>
              <w:widowControl/>
              <w:spacing w:beforeAutospacing="0" w:afterAutospacing="0"/>
              <w:jc w:val="both"/>
            </w:pPr>
            <w:r>
              <w:rPr>
                <w:rFonts w:hint="eastAsia" w:ascii="宋体-简" w:hAnsi="宋体-简" w:eastAsia="宋体-简" w:cs="宋体-简"/>
                <w:color w:val="000000"/>
                <w:sz w:val="22"/>
                <w:szCs w:val="22"/>
              </w:rPr>
              <w:t>遵守排班，按时到岗、交接。</w:t>
            </w:r>
          </w:p>
          <w:p w14:paraId="7ABFF724">
            <w:pPr>
              <w:pStyle w:val="12"/>
              <w:widowControl/>
              <w:spacing w:beforeAutospacing="0" w:afterAutospacing="0"/>
              <w:jc w:val="both"/>
            </w:pPr>
            <w:r>
              <w:rPr>
                <w:rFonts w:hint="eastAsia" w:ascii="宋体-简" w:hAnsi="宋体-简" w:eastAsia="宋体-简" w:cs="宋体-简"/>
                <w:color w:val="000000"/>
                <w:sz w:val="22"/>
                <w:szCs w:val="22"/>
              </w:rPr>
              <w:t>• 迟到/早退：每次 -5 分</w:t>
            </w:r>
          </w:p>
          <w:p w14:paraId="1F6A1A41">
            <w:pPr>
              <w:pStyle w:val="12"/>
              <w:widowControl/>
              <w:spacing w:beforeAutospacing="0" w:afterAutospacing="0"/>
              <w:jc w:val="both"/>
            </w:pPr>
            <w:r>
              <w:rPr>
                <w:rFonts w:hint="eastAsia" w:ascii="宋体-简" w:hAnsi="宋体-简" w:eastAsia="宋体-简" w:cs="宋体-简"/>
                <w:color w:val="000000"/>
                <w:sz w:val="22"/>
                <w:szCs w:val="22"/>
              </w:rPr>
              <w:t>• 缺岗/旷工（含私自离岗）：每天 -10 分</w:t>
            </w:r>
          </w:p>
        </w:tc>
        <w:tc>
          <w:tcPr>
            <w:tcW w:w="733"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273FF343">
            <w:pPr>
              <w:pStyle w:val="12"/>
              <w:widowControl/>
              <w:spacing w:beforeAutospacing="0" w:afterAutospacing="0"/>
              <w:jc w:val="both"/>
            </w:pPr>
            <w:r>
              <w:rPr>
                <w:rFonts w:hint="eastAsia" w:ascii="宋体-简" w:hAnsi="宋体-简" w:eastAsia="宋体-简" w:cs="宋体-简"/>
                <w:color w:val="000000"/>
                <w:sz w:val="22"/>
                <w:szCs w:val="22"/>
              </w:rPr>
              <w:t>15</w:t>
            </w:r>
          </w:p>
        </w:tc>
        <w:tc>
          <w:tcPr>
            <w:tcW w:w="475"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2E6D8A6E">
            <w:pPr>
              <w:pStyle w:val="12"/>
              <w:widowControl/>
              <w:spacing w:beforeAutospacing="0" w:afterAutospacing="0"/>
              <w:jc w:val="both"/>
            </w:pPr>
            <w:r>
              <w:rPr>
                <w:rFonts w:hint="eastAsia" w:ascii="宋体-简" w:hAnsi="宋体-简" w:eastAsia="宋体-简" w:cs="宋体-简"/>
                <w:color w:val="000000"/>
                <w:sz w:val="22"/>
                <w:szCs w:val="22"/>
              </w:rPr>
              <w:t> </w:t>
            </w:r>
          </w:p>
        </w:tc>
        <w:tc>
          <w:tcPr>
            <w:tcW w:w="1008"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135FAAAD">
            <w:pPr>
              <w:pStyle w:val="12"/>
              <w:widowControl/>
              <w:spacing w:beforeAutospacing="0" w:afterAutospacing="0"/>
              <w:jc w:val="both"/>
            </w:pPr>
            <w:r>
              <w:rPr>
                <w:rFonts w:hint="eastAsia" w:ascii="宋体-简" w:hAnsi="宋体-简" w:eastAsia="宋体-简" w:cs="宋体-简"/>
                <w:color w:val="000000"/>
                <w:sz w:val="22"/>
                <w:szCs w:val="22"/>
              </w:rPr>
              <w:t> </w:t>
            </w:r>
          </w:p>
        </w:tc>
      </w:tr>
      <w:tr w14:paraId="670C23E1">
        <w:tblPrEx>
          <w:tblCellMar>
            <w:top w:w="15" w:type="dxa"/>
            <w:left w:w="15" w:type="dxa"/>
            <w:bottom w:w="15" w:type="dxa"/>
            <w:right w:w="15" w:type="dxa"/>
          </w:tblCellMar>
        </w:tblPrEx>
        <w:trPr>
          <w:trHeight w:val="540" w:hRule="atLeast"/>
        </w:trPr>
        <w:tc>
          <w:tcPr>
            <w:tcW w:w="570" w:type="dxa"/>
            <w:tcBorders>
              <w:top w:val="single" w:color="000000" w:sz="2" w:space="0"/>
              <w:left w:val="single" w:color="000000" w:sz="12" w:space="0"/>
              <w:bottom w:val="single" w:color="000000" w:sz="12" w:space="0"/>
              <w:right w:val="single" w:color="000000" w:sz="12" w:space="0"/>
            </w:tcBorders>
            <w:shd w:val="clear" w:color="auto" w:fill="auto"/>
            <w:tcMar>
              <w:top w:w="0" w:type="dxa"/>
              <w:left w:w="144" w:type="dxa"/>
              <w:bottom w:w="0" w:type="dxa"/>
              <w:right w:w="144" w:type="dxa"/>
            </w:tcMar>
          </w:tcPr>
          <w:p w14:paraId="5172C6B9">
            <w:pPr>
              <w:pStyle w:val="12"/>
              <w:widowControl/>
              <w:spacing w:beforeAutospacing="0" w:afterAutospacing="0"/>
              <w:jc w:val="both"/>
            </w:pPr>
            <w:r>
              <w:rPr>
                <w:rFonts w:hint="eastAsia" w:ascii="宋体-简" w:hAnsi="宋体-简" w:eastAsia="宋体-简" w:cs="宋体-简"/>
                <w:color w:val="000000"/>
                <w:sz w:val="22"/>
                <w:szCs w:val="22"/>
              </w:rPr>
              <w:t>2</w:t>
            </w:r>
          </w:p>
        </w:tc>
        <w:tc>
          <w:tcPr>
            <w:tcW w:w="1315"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10C992AD">
            <w:pPr>
              <w:pStyle w:val="12"/>
              <w:widowControl/>
              <w:spacing w:beforeAutospacing="0" w:afterAutospacing="0"/>
              <w:jc w:val="both"/>
            </w:pPr>
            <w:r>
              <w:rPr>
                <w:rFonts w:hint="eastAsia" w:ascii="宋体-简" w:hAnsi="宋体-简" w:eastAsia="宋体-简" w:cs="宋体-简"/>
                <w:color w:val="000000"/>
                <w:sz w:val="22"/>
                <w:szCs w:val="22"/>
              </w:rPr>
              <w:t>服务态度与专业形象</w:t>
            </w:r>
          </w:p>
        </w:tc>
        <w:tc>
          <w:tcPr>
            <w:tcW w:w="4376"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022FB624">
            <w:pPr>
              <w:pStyle w:val="12"/>
              <w:widowControl/>
              <w:spacing w:beforeAutospacing="0" w:afterAutospacing="0"/>
              <w:jc w:val="both"/>
            </w:pPr>
            <w:r>
              <w:rPr>
                <w:rFonts w:hint="eastAsia" w:ascii="宋体-简" w:hAnsi="宋体-简" w:eastAsia="宋体-简" w:cs="宋体-简"/>
                <w:color w:val="000000"/>
                <w:sz w:val="22"/>
                <w:szCs w:val="22"/>
              </w:rPr>
              <w:t>积极主动、沟通顺畅、着装规范、客户满意度高。</w:t>
            </w:r>
          </w:p>
          <w:p w14:paraId="3B8C4BF9">
            <w:pPr>
              <w:pStyle w:val="12"/>
              <w:widowControl/>
              <w:spacing w:beforeAutospacing="0" w:afterAutospacing="0"/>
              <w:jc w:val="both"/>
            </w:pPr>
            <w:r>
              <w:rPr>
                <w:rFonts w:hint="eastAsia" w:ascii="宋体-简" w:hAnsi="宋体-简" w:eastAsia="宋体-简" w:cs="宋体-简"/>
                <w:color w:val="000000"/>
                <w:sz w:val="22"/>
                <w:szCs w:val="22"/>
              </w:rPr>
              <w:t>• 态度恶劣、与采购人争吵或推诿：每次 -5 分</w:t>
            </w:r>
          </w:p>
        </w:tc>
        <w:tc>
          <w:tcPr>
            <w:tcW w:w="733"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08AD12A9">
            <w:pPr>
              <w:pStyle w:val="12"/>
              <w:widowControl/>
              <w:spacing w:beforeAutospacing="0" w:afterAutospacing="0"/>
              <w:jc w:val="both"/>
            </w:pPr>
            <w:r>
              <w:rPr>
                <w:rFonts w:hint="eastAsia" w:ascii="宋体-简" w:hAnsi="宋体-简" w:eastAsia="宋体-简" w:cs="宋体-简"/>
                <w:color w:val="000000"/>
                <w:sz w:val="22"/>
                <w:szCs w:val="22"/>
              </w:rPr>
              <w:t>15</w:t>
            </w:r>
          </w:p>
        </w:tc>
        <w:tc>
          <w:tcPr>
            <w:tcW w:w="475"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3858C3A9">
            <w:pPr>
              <w:pStyle w:val="12"/>
              <w:widowControl/>
              <w:spacing w:beforeAutospacing="0" w:afterAutospacing="0"/>
              <w:jc w:val="both"/>
            </w:pPr>
            <w:r>
              <w:rPr>
                <w:rFonts w:hint="eastAsia" w:ascii="宋体-简" w:hAnsi="宋体-简" w:eastAsia="宋体-简" w:cs="宋体-简"/>
                <w:color w:val="000000"/>
                <w:sz w:val="22"/>
                <w:szCs w:val="22"/>
              </w:rPr>
              <w:t> </w:t>
            </w:r>
          </w:p>
        </w:tc>
        <w:tc>
          <w:tcPr>
            <w:tcW w:w="1008"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6DECA2E9">
            <w:pPr>
              <w:pStyle w:val="12"/>
              <w:widowControl/>
              <w:spacing w:beforeAutospacing="0" w:afterAutospacing="0"/>
              <w:jc w:val="both"/>
            </w:pPr>
            <w:r>
              <w:rPr>
                <w:rFonts w:hint="eastAsia" w:ascii="宋体-简" w:hAnsi="宋体-简" w:eastAsia="宋体-简" w:cs="宋体-简"/>
                <w:color w:val="000000"/>
                <w:sz w:val="22"/>
                <w:szCs w:val="22"/>
              </w:rPr>
              <w:t> </w:t>
            </w:r>
          </w:p>
        </w:tc>
      </w:tr>
      <w:tr w14:paraId="75DEB5AF">
        <w:tblPrEx>
          <w:tblCellMar>
            <w:top w:w="15" w:type="dxa"/>
            <w:left w:w="15" w:type="dxa"/>
            <w:bottom w:w="15" w:type="dxa"/>
            <w:right w:w="15" w:type="dxa"/>
          </w:tblCellMar>
        </w:tblPrEx>
        <w:trPr>
          <w:trHeight w:val="540" w:hRule="atLeast"/>
        </w:trPr>
        <w:tc>
          <w:tcPr>
            <w:tcW w:w="570" w:type="dxa"/>
            <w:tcBorders>
              <w:top w:val="single" w:color="000000" w:sz="2" w:space="0"/>
              <w:left w:val="single" w:color="000000" w:sz="12" w:space="0"/>
              <w:bottom w:val="single" w:color="000000" w:sz="12" w:space="0"/>
              <w:right w:val="single" w:color="000000" w:sz="12" w:space="0"/>
            </w:tcBorders>
            <w:shd w:val="clear" w:color="auto" w:fill="auto"/>
            <w:tcMar>
              <w:top w:w="0" w:type="dxa"/>
              <w:left w:w="144" w:type="dxa"/>
              <w:bottom w:w="0" w:type="dxa"/>
              <w:right w:w="144" w:type="dxa"/>
            </w:tcMar>
          </w:tcPr>
          <w:p w14:paraId="5084B324">
            <w:pPr>
              <w:pStyle w:val="12"/>
              <w:widowControl/>
              <w:spacing w:beforeAutospacing="0" w:afterAutospacing="0"/>
              <w:jc w:val="both"/>
            </w:pPr>
            <w:r>
              <w:rPr>
                <w:rFonts w:hint="eastAsia" w:ascii="宋体-简" w:hAnsi="宋体-简" w:eastAsia="宋体-简" w:cs="宋体-简"/>
                <w:color w:val="000000"/>
                <w:sz w:val="22"/>
                <w:szCs w:val="22"/>
              </w:rPr>
              <w:t>3</w:t>
            </w:r>
          </w:p>
        </w:tc>
        <w:tc>
          <w:tcPr>
            <w:tcW w:w="1315"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08B437D2">
            <w:pPr>
              <w:pStyle w:val="12"/>
              <w:widowControl/>
              <w:spacing w:beforeAutospacing="0" w:afterAutospacing="0"/>
              <w:jc w:val="both"/>
            </w:pPr>
            <w:r>
              <w:rPr>
                <w:rFonts w:hint="eastAsia" w:ascii="宋体-简" w:hAnsi="宋体-简" w:eastAsia="宋体-简" w:cs="宋体-简"/>
                <w:color w:val="000000"/>
                <w:sz w:val="22"/>
                <w:szCs w:val="22"/>
              </w:rPr>
              <w:t>响应与处置时效</w:t>
            </w:r>
          </w:p>
        </w:tc>
        <w:tc>
          <w:tcPr>
            <w:tcW w:w="4376"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2355DE23">
            <w:pPr>
              <w:pStyle w:val="12"/>
              <w:widowControl/>
              <w:spacing w:beforeAutospacing="0" w:afterAutospacing="0"/>
              <w:jc w:val="both"/>
            </w:pPr>
            <w:r>
              <w:rPr>
                <w:rFonts w:hint="eastAsia" w:ascii="宋体-简" w:hAnsi="宋体-简" w:eastAsia="宋体-简" w:cs="宋体-简"/>
                <w:color w:val="000000"/>
                <w:sz w:val="22"/>
                <w:szCs w:val="22"/>
              </w:rPr>
              <w:t>• 重大告警（P1/P2）响应 &gt;15 分钟或修复 &gt;1 小时：-5 分/次</w:t>
            </w:r>
          </w:p>
          <w:p w14:paraId="50D9EF54">
            <w:pPr>
              <w:pStyle w:val="12"/>
              <w:widowControl/>
              <w:spacing w:beforeAutospacing="0" w:afterAutospacing="0"/>
              <w:jc w:val="both"/>
            </w:pPr>
            <w:r>
              <w:rPr>
                <w:rFonts w:hint="eastAsia" w:ascii="宋体-简" w:hAnsi="宋体-简" w:eastAsia="宋体-简" w:cs="宋体-简"/>
                <w:color w:val="000000"/>
                <w:sz w:val="22"/>
                <w:szCs w:val="22"/>
              </w:rPr>
              <w:t>• 普通工单/需求逾期 &gt;3 天：-5 分/次</w:t>
            </w:r>
          </w:p>
          <w:p w14:paraId="5BB63B3B">
            <w:pPr>
              <w:pStyle w:val="12"/>
              <w:widowControl/>
              <w:spacing w:beforeAutospacing="0" w:afterAutospacing="0"/>
              <w:jc w:val="both"/>
            </w:pPr>
            <w:r>
              <w:rPr>
                <w:rFonts w:hint="eastAsia" w:ascii="宋体-简" w:hAnsi="宋体-简" w:eastAsia="宋体-简" w:cs="宋体-简"/>
                <w:color w:val="000000"/>
                <w:sz w:val="22"/>
                <w:szCs w:val="22"/>
              </w:rPr>
              <w:t>• 未按 SLA 提供阶段性进度：-3 分/次</w:t>
            </w:r>
          </w:p>
        </w:tc>
        <w:tc>
          <w:tcPr>
            <w:tcW w:w="733"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0EE886EF">
            <w:pPr>
              <w:pStyle w:val="12"/>
              <w:widowControl/>
              <w:spacing w:beforeAutospacing="0" w:afterAutospacing="0"/>
              <w:jc w:val="both"/>
            </w:pPr>
            <w:r>
              <w:rPr>
                <w:rFonts w:hint="eastAsia" w:ascii="宋体-简" w:hAnsi="宋体-简" w:eastAsia="宋体-简" w:cs="宋体-简"/>
                <w:color w:val="000000"/>
                <w:sz w:val="22"/>
                <w:szCs w:val="22"/>
              </w:rPr>
              <w:t>20</w:t>
            </w:r>
          </w:p>
        </w:tc>
        <w:tc>
          <w:tcPr>
            <w:tcW w:w="475"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5659D551">
            <w:pPr>
              <w:pStyle w:val="12"/>
              <w:widowControl/>
              <w:spacing w:beforeAutospacing="0" w:afterAutospacing="0"/>
              <w:jc w:val="both"/>
            </w:pPr>
            <w:r>
              <w:rPr>
                <w:rFonts w:hint="eastAsia" w:ascii="宋体-简" w:hAnsi="宋体-简" w:eastAsia="宋体-简" w:cs="宋体-简"/>
                <w:color w:val="000000"/>
                <w:sz w:val="22"/>
                <w:szCs w:val="22"/>
              </w:rPr>
              <w:t> </w:t>
            </w:r>
          </w:p>
        </w:tc>
        <w:tc>
          <w:tcPr>
            <w:tcW w:w="1008"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177E4A14">
            <w:pPr>
              <w:pStyle w:val="12"/>
              <w:widowControl/>
              <w:spacing w:beforeAutospacing="0" w:afterAutospacing="0"/>
              <w:jc w:val="both"/>
            </w:pPr>
            <w:r>
              <w:rPr>
                <w:rFonts w:hint="eastAsia" w:ascii="宋体-简" w:hAnsi="宋体-简" w:eastAsia="宋体-简" w:cs="宋体-简"/>
                <w:color w:val="000000"/>
                <w:sz w:val="22"/>
                <w:szCs w:val="22"/>
              </w:rPr>
              <w:t> </w:t>
            </w:r>
          </w:p>
        </w:tc>
      </w:tr>
      <w:tr w14:paraId="1D88CA6F">
        <w:tblPrEx>
          <w:tblCellMar>
            <w:top w:w="15" w:type="dxa"/>
            <w:left w:w="15" w:type="dxa"/>
            <w:bottom w:w="15" w:type="dxa"/>
            <w:right w:w="15" w:type="dxa"/>
          </w:tblCellMar>
        </w:tblPrEx>
        <w:trPr>
          <w:trHeight w:val="540" w:hRule="atLeast"/>
        </w:trPr>
        <w:tc>
          <w:tcPr>
            <w:tcW w:w="570" w:type="dxa"/>
            <w:tcBorders>
              <w:top w:val="single" w:color="000000" w:sz="2" w:space="0"/>
              <w:left w:val="single" w:color="000000" w:sz="12" w:space="0"/>
              <w:bottom w:val="single" w:color="000000" w:sz="12" w:space="0"/>
              <w:right w:val="single" w:color="000000" w:sz="12" w:space="0"/>
            </w:tcBorders>
            <w:shd w:val="clear" w:color="auto" w:fill="auto"/>
            <w:tcMar>
              <w:top w:w="0" w:type="dxa"/>
              <w:left w:w="144" w:type="dxa"/>
              <w:bottom w:w="0" w:type="dxa"/>
              <w:right w:w="144" w:type="dxa"/>
            </w:tcMar>
          </w:tcPr>
          <w:p w14:paraId="41E4F9AC">
            <w:pPr>
              <w:pStyle w:val="12"/>
              <w:widowControl/>
              <w:spacing w:beforeAutospacing="0" w:afterAutospacing="0"/>
              <w:jc w:val="both"/>
            </w:pPr>
            <w:r>
              <w:rPr>
                <w:rFonts w:hint="eastAsia" w:ascii="宋体-简" w:hAnsi="宋体-简" w:eastAsia="宋体-简" w:cs="宋体-简"/>
                <w:color w:val="000000"/>
                <w:sz w:val="22"/>
                <w:szCs w:val="22"/>
              </w:rPr>
              <w:t>4</w:t>
            </w:r>
          </w:p>
        </w:tc>
        <w:tc>
          <w:tcPr>
            <w:tcW w:w="1315"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6EFDBDCC">
            <w:pPr>
              <w:pStyle w:val="12"/>
              <w:widowControl/>
              <w:spacing w:beforeAutospacing="0" w:afterAutospacing="0"/>
              <w:jc w:val="both"/>
            </w:pPr>
            <w:r>
              <w:rPr>
                <w:rFonts w:hint="eastAsia" w:ascii="宋体-简" w:hAnsi="宋体-简" w:eastAsia="宋体-简" w:cs="宋体-简"/>
                <w:color w:val="000000"/>
                <w:sz w:val="22"/>
                <w:szCs w:val="22"/>
              </w:rPr>
              <w:t>故障、可用性 &amp; 安全事件</w:t>
            </w:r>
          </w:p>
        </w:tc>
        <w:tc>
          <w:tcPr>
            <w:tcW w:w="4376"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1ADA4C33">
            <w:pPr>
              <w:pStyle w:val="12"/>
              <w:widowControl/>
              <w:spacing w:beforeAutospacing="0" w:afterAutospacing="0"/>
              <w:jc w:val="both"/>
            </w:pPr>
            <w:r>
              <w:rPr>
                <w:rFonts w:hint="eastAsia" w:ascii="宋体-简" w:hAnsi="宋体-简" w:eastAsia="宋体-简" w:cs="宋体-简"/>
                <w:color w:val="000000"/>
                <w:sz w:val="22"/>
                <w:szCs w:val="22"/>
              </w:rPr>
              <w:t>① 系统可用性</w:t>
            </w:r>
          </w:p>
          <w:p w14:paraId="45F02803">
            <w:pPr>
              <w:pStyle w:val="12"/>
              <w:widowControl/>
              <w:spacing w:beforeAutospacing="0" w:afterAutospacing="0"/>
              <w:jc w:val="both"/>
            </w:pPr>
            <w:r>
              <w:rPr>
                <w:rFonts w:hint="eastAsia" w:ascii="宋体-简" w:hAnsi="宋体-简" w:eastAsia="宋体-简" w:cs="宋体-简"/>
                <w:color w:val="000000"/>
                <w:sz w:val="22"/>
                <w:szCs w:val="22"/>
              </w:rPr>
              <w:t>• 因运维失误致业务中断 ≥30 分钟：-10 分/次</w:t>
            </w:r>
          </w:p>
          <w:p w14:paraId="67AD55F3">
            <w:pPr>
              <w:pStyle w:val="12"/>
              <w:widowControl/>
              <w:spacing w:beforeAutospacing="0" w:afterAutospacing="0"/>
              <w:jc w:val="both"/>
            </w:pPr>
            <w:r>
              <w:rPr>
                <w:rFonts w:hint="eastAsia" w:ascii="宋体-简" w:hAnsi="宋体-简" w:eastAsia="宋体-简" w:cs="宋体-简"/>
                <w:color w:val="000000"/>
                <w:sz w:val="22"/>
                <w:szCs w:val="22"/>
              </w:rPr>
              <w:t>② 数据库/中间件/备份疏漏</w:t>
            </w:r>
          </w:p>
          <w:p w14:paraId="08727591">
            <w:pPr>
              <w:pStyle w:val="12"/>
              <w:widowControl/>
              <w:spacing w:beforeAutospacing="0" w:afterAutospacing="0"/>
              <w:jc w:val="both"/>
            </w:pPr>
            <w:r>
              <w:rPr>
                <w:rFonts w:hint="eastAsia" w:ascii="宋体-简" w:hAnsi="宋体-简" w:eastAsia="宋体-简" w:cs="宋体-简"/>
                <w:color w:val="000000"/>
                <w:sz w:val="22"/>
                <w:szCs w:val="22"/>
              </w:rPr>
              <w:t>• 未执行或记录缺失：-5 分/次</w:t>
            </w:r>
          </w:p>
          <w:p w14:paraId="6719961A">
            <w:pPr>
              <w:pStyle w:val="12"/>
              <w:widowControl/>
              <w:spacing w:beforeAutospacing="0" w:afterAutospacing="0"/>
              <w:jc w:val="both"/>
            </w:pPr>
            <w:r>
              <w:rPr>
                <w:rFonts w:hint="eastAsia" w:ascii="宋体-简" w:hAnsi="宋体-简" w:eastAsia="宋体-简" w:cs="宋体-简"/>
                <w:color w:val="000000"/>
                <w:sz w:val="22"/>
                <w:szCs w:val="22"/>
              </w:rPr>
              <w:t>③ 医院信息系统安全事件扣分</w:t>
            </w:r>
          </w:p>
          <w:p w14:paraId="019A548A">
            <w:pPr>
              <w:pStyle w:val="12"/>
              <w:widowControl/>
              <w:spacing w:beforeAutospacing="0" w:afterAutospacing="0"/>
              <w:jc w:val="both"/>
            </w:pPr>
            <w:r>
              <w:rPr>
                <w:rFonts w:hint="eastAsia" w:ascii="宋体-简" w:hAnsi="宋体-简" w:eastAsia="宋体-简" w:cs="宋体-简"/>
                <w:color w:val="000000"/>
                <w:sz w:val="22"/>
                <w:szCs w:val="22"/>
              </w:rPr>
              <w:t>• Ⅳ级（一般）：-10 分/次</w:t>
            </w:r>
          </w:p>
          <w:p w14:paraId="324D98BE">
            <w:pPr>
              <w:pStyle w:val="12"/>
              <w:widowControl/>
              <w:spacing w:beforeAutospacing="0" w:afterAutospacing="0"/>
              <w:jc w:val="both"/>
            </w:pPr>
            <w:r>
              <w:rPr>
                <w:rFonts w:hint="eastAsia" w:ascii="宋体-简" w:hAnsi="宋体-简" w:eastAsia="宋体-简" w:cs="宋体-简"/>
                <w:color w:val="000000"/>
                <w:sz w:val="22"/>
                <w:szCs w:val="22"/>
              </w:rPr>
              <w:t>• Ⅲ级（较大）：-20 分/次</w:t>
            </w:r>
          </w:p>
          <w:p w14:paraId="63ABCC4D">
            <w:pPr>
              <w:pStyle w:val="12"/>
              <w:widowControl/>
              <w:spacing w:beforeAutospacing="0" w:afterAutospacing="0"/>
              <w:jc w:val="both"/>
            </w:pPr>
            <w:r>
              <w:rPr>
                <w:rFonts w:hint="eastAsia" w:ascii="宋体-简" w:hAnsi="宋体-简" w:eastAsia="宋体-简" w:cs="宋体-简"/>
                <w:color w:val="000000"/>
                <w:sz w:val="22"/>
                <w:szCs w:val="22"/>
              </w:rPr>
              <w:t>• Ⅱ级（重大）：-30 分/次（本指标计0分）</w:t>
            </w:r>
          </w:p>
          <w:p w14:paraId="4A9FD2F5">
            <w:pPr>
              <w:pStyle w:val="12"/>
              <w:widowControl/>
              <w:spacing w:beforeAutospacing="0" w:afterAutospacing="0"/>
              <w:jc w:val="both"/>
            </w:pPr>
            <w:r>
              <w:rPr>
                <w:rFonts w:hint="eastAsia" w:ascii="宋体-简" w:hAnsi="宋体-简" w:eastAsia="宋体-简" w:cs="宋体-简"/>
                <w:color w:val="000000"/>
                <w:sz w:val="22"/>
                <w:szCs w:val="22"/>
              </w:rPr>
              <w:t>• Ⅰ级（特别重大）：本指标计0分，当月总分归0，需立即更换人员并启动事故调查</w:t>
            </w:r>
          </w:p>
        </w:tc>
        <w:tc>
          <w:tcPr>
            <w:tcW w:w="733"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53BA38B4">
            <w:pPr>
              <w:pStyle w:val="12"/>
              <w:widowControl/>
              <w:spacing w:beforeAutospacing="0" w:afterAutospacing="0"/>
              <w:jc w:val="both"/>
            </w:pPr>
            <w:r>
              <w:rPr>
                <w:rFonts w:hint="eastAsia" w:ascii="宋体-简" w:hAnsi="宋体-简" w:eastAsia="宋体-简" w:cs="宋体-简"/>
                <w:color w:val="000000"/>
                <w:sz w:val="22"/>
                <w:szCs w:val="22"/>
              </w:rPr>
              <w:t>30</w:t>
            </w:r>
          </w:p>
        </w:tc>
        <w:tc>
          <w:tcPr>
            <w:tcW w:w="475"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42347E64">
            <w:pPr>
              <w:pStyle w:val="12"/>
              <w:widowControl/>
              <w:spacing w:beforeAutospacing="0" w:afterAutospacing="0"/>
              <w:jc w:val="both"/>
            </w:pPr>
            <w:r>
              <w:rPr>
                <w:rFonts w:hint="eastAsia" w:ascii="宋体-简" w:hAnsi="宋体-简" w:eastAsia="宋体-简" w:cs="宋体-简"/>
                <w:color w:val="000000"/>
                <w:sz w:val="22"/>
                <w:szCs w:val="22"/>
              </w:rPr>
              <w:t> </w:t>
            </w:r>
          </w:p>
        </w:tc>
        <w:tc>
          <w:tcPr>
            <w:tcW w:w="1008"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59F34ED9">
            <w:pPr>
              <w:pStyle w:val="12"/>
              <w:widowControl/>
              <w:spacing w:beforeAutospacing="0" w:afterAutospacing="0"/>
              <w:jc w:val="both"/>
            </w:pPr>
            <w:r>
              <w:rPr>
                <w:rFonts w:hint="eastAsia" w:ascii="宋体-简" w:hAnsi="宋体-简" w:eastAsia="宋体-简" w:cs="宋体-简"/>
                <w:color w:val="000000"/>
                <w:sz w:val="22"/>
                <w:szCs w:val="22"/>
              </w:rPr>
              <w:t>重大/特别重大需向医院网安部门和采购人同步书面报告</w:t>
            </w:r>
          </w:p>
        </w:tc>
      </w:tr>
      <w:tr w14:paraId="5C90711A">
        <w:tblPrEx>
          <w:tblCellMar>
            <w:top w:w="15" w:type="dxa"/>
            <w:left w:w="15" w:type="dxa"/>
            <w:bottom w:w="15" w:type="dxa"/>
            <w:right w:w="15" w:type="dxa"/>
          </w:tblCellMar>
        </w:tblPrEx>
        <w:trPr>
          <w:trHeight w:val="540" w:hRule="atLeast"/>
        </w:trPr>
        <w:tc>
          <w:tcPr>
            <w:tcW w:w="570" w:type="dxa"/>
            <w:tcBorders>
              <w:top w:val="single" w:color="000000" w:sz="2" w:space="0"/>
              <w:left w:val="single" w:color="000000" w:sz="12" w:space="0"/>
              <w:bottom w:val="single" w:color="000000" w:sz="12" w:space="0"/>
              <w:right w:val="single" w:color="000000" w:sz="12" w:space="0"/>
            </w:tcBorders>
            <w:shd w:val="clear" w:color="auto" w:fill="auto"/>
            <w:tcMar>
              <w:top w:w="0" w:type="dxa"/>
              <w:left w:w="144" w:type="dxa"/>
              <w:bottom w:w="0" w:type="dxa"/>
              <w:right w:w="144" w:type="dxa"/>
            </w:tcMar>
          </w:tcPr>
          <w:p w14:paraId="1BA4C254">
            <w:pPr>
              <w:pStyle w:val="12"/>
              <w:widowControl/>
              <w:spacing w:beforeAutospacing="0" w:afterAutospacing="0"/>
              <w:jc w:val="both"/>
            </w:pPr>
            <w:r>
              <w:rPr>
                <w:rFonts w:hint="eastAsia" w:ascii="宋体-简" w:hAnsi="宋体-简" w:eastAsia="宋体-简" w:cs="宋体-简"/>
                <w:color w:val="000000"/>
                <w:sz w:val="22"/>
                <w:szCs w:val="22"/>
              </w:rPr>
              <w:t>5</w:t>
            </w:r>
          </w:p>
        </w:tc>
        <w:tc>
          <w:tcPr>
            <w:tcW w:w="1315"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756C2661">
            <w:pPr>
              <w:pStyle w:val="12"/>
              <w:widowControl/>
              <w:spacing w:beforeAutospacing="0" w:afterAutospacing="0"/>
              <w:jc w:val="both"/>
            </w:pPr>
            <w:r>
              <w:rPr>
                <w:rFonts w:hint="eastAsia" w:ascii="宋体-简" w:hAnsi="宋体-简" w:eastAsia="宋体-简" w:cs="宋体-简"/>
                <w:color w:val="000000"/>
                <w:sz w:val="22"/>
                <w:szCs w:val="22"/>
              </w:rPr>
              <w:t>变更管理与文档交付</w:t>
            </w:r>
          </w:p>
        </w:tc>
        <w:tc>
          <w:tcPr>
            <w:tcW w:w="4376"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5F2880A7">
            <w:pPr>
              <w:pStyle w:val="12"/>
              <w:widowControl/>
              <w:spacing w:beforeAutospacing="0" w:afterAutospacing="0"/>
              <w:jc w:val="both"/>
            </w:pPr>
            <w:r>
              <w:rPr>
                <w:rFonts w:hint="eastAsia" w:ascii="宋体-简" w:hAnsi="宋体-简" w:eastAsia="宋体-简" w:cs="宋体-简"/>
                <w:color w:val="000000"/>
                <w:sz w:val="22"/>
                <w:szCs w:val="22"/>
              </w:rPr>
              <w:t>变更申请、回退方案、操作记录齐全；运维文档 ≤7 天内更新。</w:t>
            </w:r>
          </w:p>
          <w:p w14:paraId="424ECBE7">
            <w:pPr>
              <w:pStyle w:val="12"/>
              <w:widowControl/>
              <w:spacing w:beforeAutospacing="0" w:afterAutospacing="0"/>
              <w:jc w:val="both"/>
            </w:pPr>
            <w:r>
              <w:rPr>
                <w:rFonts w:hint="eastAsia" w:ascii="宋体-简" w:hAnsi="宋体-简" w:eastAsia="宋体-简" w:cs="宋体-简"/>
                <w:color w:val="000000"/>
                <w:sz w:val="22"/>
                <w:szCs w:val="22"/>
              </w:rPr>
              <w:t>• 未提变更即操作/记录缺失：-5 分/次</w:t>
            </w:r>
          </w:p>
          <w:p w14:paraId="3FEF97A7">
            <w:pPr>
              <w:pStyle w:val="12"/>
              <w:widowControl/>
              <w:spacing w:beforeAutospacing="0" w:afterAutospacing="0"/>
              <w:jc w:val="both"/>
            </w:pPr>
            <w:r>
              <w:rPr>
                <w:rFonts w:hint="eastAsia" w:ascii="宋体-简" w:hAnsi="宋体-简" w:eastAsia="宋体-简" w:cs="宋体-简"/>
                <w:color w:val="000000"/>
                <w:sz w:val="22"/>
                <w:szCs w:val="22"/>
              </w:rPr>
              <w:t>• 文档更新逾期：-3 分/次</w:t>
            </w:r>
          </w:p>
        </w:tc>
        <w:tc>
          <w:tcPr>
            <w:tcW w:w="733"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73A6819B">
            <w:pPr>
              <w:pStyle w:val="12"/>
              <w:widowControl/>
              <w:spacing w:beforeAutospacing="0" w:afterAutospacing="0"/>
              <w:jc w:val="both"/>
            </w:pPr>
            <w:r>
              <w:rPr>
                <w:rFonts w:hint="eastAsia" w:ascii="宋体-简" w:hAnsi="宋体-简" w:eastAsia="宋体-简" w:cs="宋体-简"/>
                <w:color w:val="000000"/>
                <w:sz w:val="22"/>
                <w:szCs w:val="22"/>
              </w:rPr>
              <w:t>10</w:t>
            </w:r>
          </w:p>
        </w:tc>
        <w:tc>
          <w:tcPr>
            <w:tcW w:w="475"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4C0DFEDC">
            <w:pPr>
              <w:pStyle w:val="12"/>
              <w:widowControl/>
              <w:spacing w:beforeAutospacing="0" w:afterAutospacing="0"/>
              <w:jc w:val="both"/>
            </w:pPr>
            <w:r>
              <w:rPr>
                <w:rFonts w:hint="eastAsia" w:ascii="宋体-简" w:hAnsi="宋体-简" w:eastAsia="宋体-简" w:cs="宋体-简"/>
                <w:color w:val="000000"/>
                <w:sz w:val="22"/>
                <w:szCs w:val="22"/>
              </w:rPr>
              <w:t> </w:t>
            </w:r>
          </w:p>
        </w:tc>
        <w:tc>
          <w:tcPr>
            <w:tcW w:w="1008"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62892880">
            <w:pPr>
              <w:pStyle w:val="12"/>
              <w:widowControl/>
              <w:spacing w:beforeAutospacing="0" w:afterAutospacing="0"/>
              <w:jc w:val="both"/>
            </w:pPr>
            <w:r>
              <w:rPr>
                <w:rFonts w:hint="eastAsia" w:ascii="宋体-简" w:hAnsi="宋体-简" w:eastAsia="宋体-简" w:cs="宋体-简"/>
                <w:color w:val="000000"/>
                <w:sz w:val="22"/>
                <w:szCs w:val="22"/>
              </w:rPr>
              <w:t> </w:t>
            </w:r>
          </w:p>
        </w:tc>
      </w:tr>
      <w:tr w14:paraId="487570B6">
        <w:tblPrEx>
          <w:tblCellMar>
            <w:top w:w="15" w:type="dxa"/>
            <w:left w:w="15" w:type="dxa"/>
            <w:bottom w:w="15" w:type="dxa"/>
            <w:right w:w="15" w:type="dxa"/>
          </w:tblCellMar>
        </w:tblPrEx>
        <w:trPr>
          <w:trHeight w:val="540" w:hRule="atLeast"/>
        </w:trPr>
        <w:tc>
          <w:tcPr>
            <w:tcW w:w="570" w:type="dxa"/>
            <w:tcBorders>
              <w:top w:val="single" w:color="000000" w:sz="2" w:space="0"/>
              <w:left w:val="single" w:color="000000" w:sz="12" w:space="0"/>
              <w:bottom w:val="single" w:color="000000" w:sz="12" w:space="0"/>
              <w:right w:val="single" w:color="000000" w:sz="12" w:space="0"/>
            </w:tcBorders>
            <w:shd w:val="clear" w:color="auto" w:fill="auto"/>
            <w:tcMar>
              <w:top w:w="0" w:type="dxa"/>
              <w:left w:w="144" w:type="dxa"/>
              <w:bottom w:w="0" w:type="dxa"/>
              <w:right w:w="144" w:type="dxa"/>
            </w:tcMar>
          </w:tcPr>
          <w:p w14:paraId="1B8DCF30">
            <w:pPr>
              <w:pStyle w:val="12"/>
              <w:widowControl/>
              <w:spacing w:beforeAutospacing="0" w:afterAutospacing="0"/>
              <w:jc w:val="both"/>
            </w:pPr>
            <w:r>
              <w:rPr>
                <w:rFonts w:hint="eastAsia" w:ascii="宋体-简" w:hAnsi="宋体-简" w:eastAsia="宋体-简" w:cs="宋体-简"/>
                <w:color w:val="000000"/>
                <w:sz w:val="22"/>
                <w:szCs w:val="22"/>
              </w:rPr>
              <w:t>6</w:t>
            </w:r>
          </w:p>
        </w:tc>
        <w:tc>
          <w:tcPr>
            <w:tcW w:w="1315"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10D8CB83">
            <w:pPr>
              <w:pStyle w:val="12"/>
              <w:widowControl/>
              <w:spacing w:beforeAutospacing="0" w:afterAutospacing="0"/>
              <w:jc w:val="both"/>
            </w:pPr>
            <w:r>
              <w:rPr>
                <w:rFonts w:hint="eastAsia" w:ascii="宋体-简" w:hAnsi="宋体-简" w:eastAsia="宋体-简" w:cs="宋体-简"/>
                <w:color w:val="000000"/>
                <w:sz w:val="22"/>
                <w:szCs w:val="22"/>
              </w:rPr>
              <w:t>沟通协作与培训</w:t>
            </w:r>
          </w:p>
        </w:tc>
        <w:tc>
          <w:tcPr>
            <w:tcW w:w="4376"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4A4AB048">
            <w:pPr>
              <w:pStyle w:val="12"/>
              <w:widowControl/>
              <w:spacing w:beforeAutospacing="0" w:afterAutospacing="0"/>
              <w:jc w:val="both"/>
            </w:pPr>
            <w:r>
              <w:rPr>
                <w:rFonts w:hint="eastAsia" w:ascii="宋体-简" w:hAnsi="宋体-简" w:eastAsia="宋体-简" w:cs="宋体-简"/>
                <w:color w:val="000000"/>
                <w:sz w:val="22"/>
                <w:szCs w:val="22"/>
              </w:rPr>
              <w:t>例会、应急演练、知识转移按要求参加并实施。</w:t>
            </w:r>
          </w:p>
          <w:p w14:paraId="200A33DF">
            <w:pPr>
              <w:pStyle w:val="12"/>
              <w:widowControl/>
              <w:spacing w:beforeAutospacing="0" w:afterAutospacing="0"/>
              <w:jc w:val="both"/>
            </w:pPr>
            <w:r>
              <w:rPr>
                <w:rFonts w:hint="eastAsia" w:ascii="宋体-简" w:hAnsi="宋体-简" w:eastAsia="宋体-简" w:cs="宋体-简"/>
                <w:color w:val="000000"/>
                <w:sz w:val="22"/>
                <w:szCs w:val="22"/>
              </w:rPr>
              <w:t>• 会议迟到/早退/缺席：-3 分/次</w:t>
            </w:r>
          </w:p>
          <w:p w14:paraId="6AFAAF22">
            <w:pPr>
              <w:pStyle w:val="12"/>
              <w:widowControl/>
              <w:spacing w:beforeAutospacing="0" w:afterAutospacing="0"/>
              <w:jc w:val="both"/>
            </w:pPr>
            <w:r>
              <w:rPr>
                <w:rFonts w:hint="eastAsia" w:ascii="宋体-简" w:hAnsi="宋体-简" w:eastAsia="宋体-简" w:cs="宋体-简"/>
                <w:color w:val="000000"/>
                <w:sz w:val="22"/>
                <w:szCs w:val="22"/>
              </w:rPr>
              <w:t>• 培训不到位或考核不合格：-5 分/次</w:t>
            </w:r>
          </w:p>
        </w:tc>
        <w:tc>
          <w:tcPr>
            <w:tcW w:w="733"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109BEB41">
            <w:pPr>
              <w:pStyle w:val="12"/>
              <w:widowControl/>
              <w:spacing w:beforeAutospacing="0" w:afterAutospacing="0"/>
              <w:jc w:val="both"/>
            </w:pPr>
            <w:r>
              <w:rPr>
                <w:rFonts w:hint="eastAsia" w:ascii="宋体-简" w:hAnsi="宋体-简" w:eastAsia="宋体-简" w:cs="宋体-简"/>
                <w:color w:val="000000"/>
                <w:sz w:val="22"/>
                <w:szCs w:val="22"/>
              </w:rPr>
              <w:t>10</w:t>
            </w:r>
          </w:p>
        </w:tc>
        <w:tc>
          <w:tcPr>
            <w:tcW w:w="475"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25EC97AB">
            <w:pPr>
              <w:pStyle w:val="12"/>
              <w:widowControl/>
              <w:spacing w:beforeAutospacing="0" w:afterAutospacing="0"/>
              <w:jc w:val="both"/>
            </w:pPr>
            <w:r>
              <w:rPr>
                <w:rFonts w:hint="eastAsia" w:ascii="宋体-简" w:hAnsi="宋体-简" w:eastAsia="宋体-简" w:cs="宋体-简"/>
                <w:color w:val="000000"/>
                <w:sz w:val="22"/>
                <w:szCs w:val="22"/>
              </w:rPr>
              <w:t> </w:t>
            </w:r>
          </w:p>
        </w:tc>
        <w:tc>
          <w:tcPr>
            <w:tcW w:w="1008"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3A84245D">
            <w:pPr>
              <w:pStyle w:val="12"/>
              <w:widowControl/>
              <w:spacing w:beforeAutospacing="0" w:afterAutospacing="0"/>
              <w:jc w:val="both"/>
            </w:pPr>
            <w:r>
              <w:rPr>
                <w:rFonts w:hint="eastAsia" w:ascii="宋体-简" w:hAnsi="宋体-简" w:eastAsia="宋体-简" w:cs="宋体-简"/>
                <w:color w:val="000000"/>
                <w:sz w:val="22"/>
                <w:szCs w:val="22"/>
              </w:rPr>
              <w:t> </w:t>
            </w:r>
          </w:p>
        </w:tc>
      </w:tr>
      <w:tr w14:paraId="5E1C2890">
        <w:tblPrEx>
          <w:tblCellMar>
            <w:top w:w="15" w:type="dxa"/>
            <w:left w:w="15" w:type="dxa"/>
            <w:bottom w:w="15" w:type="dxa"/>
            <w:right w:w="15" w:type="dxa"/>
          </w:tblCellMar>
        </w:tblPrEx>
        <w:trPr>
          <w:trHeight w:val="494" w:hRule="atLeast"/>
        </w:trPr>
        <w:tc>
          <w:tcPr>
            <w:tcW w:w="570" w:type="dxa"/>
            <w:tcBorders>
              <w:top w:val="single" w:color="000000" w:sz="2" w:space="0"/>
              <w:left w:val="single" w:color="000000" w:sz="12" w:space="0"/>
              <w:bottom w:val="single" w:color="000000" w:sz="12" w:space="0"/>
              <w:right w:val="single" w:color="000000" w:sz="12" w:space="0"/>
            </w:tcBorders>
            <w:shd w:val="clear" w:color="auto" w:fill="auto"/>
            <w:tcMar>
              <w:top w:w="0" w:type="dxa"/>
              <w:left w:w="144" w:type="dxa"/>
              <w:bottom w:w="0" w:type="dxa"/>
              <w:right w:w="144" w:type="dxa"/>
            </w:tcMar>
          </w:tcPr>
          <w:p w14:paraId="7532AC4E">
            <w:pPr>
              <w:pStyle w:val="12"/>
              <w:widowControl/>
              <w:spacing w:beforeAutospacing="0" w:afterAutospacing="0"/>
              <w:jc w:val="both"/>
            </w:pPr>
            <w:r>
              <w:rPr>
                <w:rFonts w:hint="eastAsia" w:ascii="宋体-简" w:hAnsi="宋体-简" w:eastAsia="宋体-简" w:cs="宋体-简"/>
                <w:color w:val="000000"/>
                <w:sz w:val="22"/>
                <w:szCs w:val="22"/>
              </w:rPr>
              <w:t> </w:t>
            </w:r>
          </w:p>
        </w:tc>
        <w:tc>
          <w:tcPr>
            <w:tcW w:w="1315"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0AF8035E">
            <w:pPr>
              <w:pStyle w:val="12"/>
              <w:widowControl/>
              <w:spacing w:beforeAutospacing="0" w:afterAutospacing="0"/>
              <w:jc w:val="both"/>
            </w:pPr>
            <w:r>
              <w:rPr>
                <w:rFonts w:hint="eastAsia" w:ascii="宋体-简" w:hAnsi="宋体-简" w:eastAsia="宋体-简" w:cs="宋体-简"/>
                <w:color w:val="000000"/>
                <w:sz w:val="22"/>
                <w:szCs w:val="22"/>
              </w:rPr>
              <w:t>总分</w:t>
            </w:r>
          </w:p>
        </w:tc>
        <w:tc>
          <w:tcPr>
            <w:tcW w:w="4376"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2C4AF835">
            <w:pPr>
              <w:pStyle w:val="12"/>
              <w:widowControl/>
              <w:spacing w:beforeAutospacing="0" w:afterAutospacing="0"/>
              <w:jc w:val="both"/>
            </w:pPr>
            <w:r>
              <w:rPr>
                <w:rFonts w:hint="eastAsia" w:ascii="宋体-简" w:hAnsi="宋体-简" w:eastAsia="宋体-简" w:cs="宋体-简"/>
                <w:color w:val="000000"/>
                <w:sz w:val="22"/>
                <w:szCs w:val="22"/>
              </w:rPr>
              <w:t> </w:t>
            </w:r>
          </w:p>
        </w:tc>
        <w:tc>
          <w:tcPr>
            <w:tcW w:w="733"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0069A7BC">
            <w:pPr>
              <w:pStyle w:val="12"/>
              <w:widowControl/>
              <w:spacing w:beforeAutospacing="0" w:afterAutospacing="0"/>
              <w:jc w:val="both"/>
            </w:pPr>
            <w:r>
              <w:rPr>
                <w:rFonts w:hint="eastAsia" w:ascii="宋体-简" w:hAnsi="宋体-简" w:eastAsia="宋体-简" w:cs="宋体-简"/>
                <w:color w:val="000000"/>
                <w:sz w:val="22"/>
                <w:szCs w:val="22"/>
              </w:rPr>
              <w:t>100</w:t>
            </w:r>
          </w:p>
        </w:tc>
        <w:tc>
          <w:tcPr>
            <w:tcW w:w="475"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71705919">
            <w:pPr>
              <w:pStyle w:val="12"/>
              <w:widowControl/>
              <w:spacing w:beforeAutospacing="0" w:afterAutospacing="0"/>
              <w:jc w:val="both"/>
            </w:pPr>
            <w:r>
              <w:rPr>
                <w:rFonts w:hint="eastAsia" w:ascii="宋体-简" w:hAnsi="宋体-简" w:eastAsia="宋体-简" w:cs="宋体-简"/>
                <w:color w:val="000000"/>
                <w:sz w:val="22"/>
                <w:szCs w:val="22"/>
              </w:rPr>
              <w:t> </w:t>
            </w:r>
          </w:p>
        </w:tc>
        <w:tc>
          <w:tcPr>
            <w:tcW w:w="1008" w:type="dxa"/>
            <w:tcBorders>
              <w:top w:val="single" w:color="000000" w:sz="2" w:space="0"/>
              <w:left w:val="single" w:color="000000" w:sz="2" w:space="0"/>
              <w:bottom w:val="single" w:color="000000" w:sz="12" w:space="0"/>
              <w:right w:val="single" w:color="000000" w:sz="12" w:space="0"/>
            </w:tcBorders>
            <w:shd w:val="clear" w:color="auto" w:fill="auto"/>
            <w:tcMar>
              <w:top w:w="0" w:type="dxa"/>
              <w:left w:w="144" w:type="dxa"/>
              <w:bottom w:w="0" w:type="dxa"/>
              <w:right w:w="144" w:type="dxa"/>
            </w:tcMar>
          </w:tcPr>
          <w:p w14:paraId="26DACE82">
            <w:pPr>
              <w:pStyle w:val="12"/>
              <w:widowControl/>
              <w:spacing w:beforeAutospacing="0" w:afterAutospacing="0"/>
              <w:jc w:val="both"/>
            </w:pPr>
            <w:r>
              <w:rPr>
                <w:rFonts w:hint="eastAsia" w:ascii="宋体-简" w:hAnsi="宋体-简" w:eastAsia="宋体-简" w:cs="宋体-简"/>
                <w:color w:val="000000"/>
                <w:sz w:val="22"/>
                <w:szCs w:val="22"/>
              </w:rPr>
              <w:t> </w:t>
            </w:r>
          </w:p>
        </w:tc>
      </w:tr>
    </w:tbl>
    <w:p w14:paraId="6F82F978">
      <w:pPr>
        <w:pStyle w:val="12"/>
        <w:widowControl/>
        <w:spacing w:beforeAutospacing="0" w:after="200" w:afterAutospacing="0" w:line="23" w:lineRule="atLeast"/>
        <w:jc w:val="both"/>
      </w:pPr>
      <w:r>
        <w:rPr>
          <w:rFonts w:hint="eastAsia" w:ascii="宋体-简" w:hAnsi="宋体-简" w:eastAsia="宋体-简" w:cs="宋体-简"/>
          <w:color w:val="000000"/>
          <w:sz w:val="22"/>
          <w:szCs w:val="22"/>
        </w:rPr>
        <w:t> </w:t>
      </w:r>
    </w:p>
    <w:p w14:paraId="47EF07EE">
      <w:pPr>
        <w:pStyle w:val="12"/>
        <w:widowControl/>
        <w:spacing w:beforeAutospacing="0" w:afterAutospacing="0"/>
        <w:jc w:val="both"/>
      </w:pPr>
      <w:r>
        <w:rPr>
          <w:rFonts w:hint="eastAsia" w:ascii="宋体-简" w:hAnsi="宋体-简" w:eastAsia="宋体-简" w:cs="宋体-简"/>
          <w:color w:val="000000"/>
        </w:rPr>
        <w:t> </w:t>
      </w:r>
    </w:p>
    <w:p w14:paraId="0148F9BF">
      <w:pPr>
        <w:pStyle w:val="8"/>
        <w:spacing w:line="560" w:lineRule="exact"/>
        <w:ind w:firstLine="640" w:firstLineChars="200"/>
        <w:rPr>
          <w:rFonts w:ascii="方正仿宋_GBK" w:hAnsi="方正仿宋_GBK" w:eastAsia="方正仿宋_GBK" w:cs="方正仿宋_GBK"/>
          <w:color w:val="000000"/>
          <w:kern w:val="0"/>
          <w:sz w:val="32"/>
          <w:szCs w:val="32"/>
        </w:rPr>
      </w:pPr>
    </w:p>
    <w:p w14:paraId="6FA694B2">
      <w:pPr>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br w:type="page"/>
      </w:r>
    </w:p>
    <w:p w14:paraId="2C76B56A">
      <w:pPr>
        <w:widowControl/>
        <w:spacing w:after="120" w:line="312" w:lineRule="auto"/>
        <w:jc w:val="left"/>
        <w:rPr>
          <w:rFonts w:ascii="Calibri" w:hAnsi="Calibri" w:eastAsia="宋体" w:cs="Times New Roman"/>
          <w:smallCaps/>
          <w:sz w:val="24"/>
          <w:szCs w:val="24"/>
        </w:rPr>
      </w:pPr>
    </w:p>
    <w:p w14:paraId="6EA893EB">
      <w:pPr>
        <w:widowControl/>
        <w:spacing w:after="120" w:line="312" w:lineRule="auto"/>
        <w:ind w:firstLine="480" w:firstLineChars="200"/>
        <w:jc w:val="left"/>
        <w:rPr>
          <w:rFonts w:ascii="Calibri" w:hAnsi="Calibri" w:eastAsia="宋体" w:cs="Times New Roman"/>
          <w:smallCaps/>
          <w:sz w:val="24"/>
          <w:szCs w:val="24"/>
        </w:rPr>
      </w:pPr>
    </w:p>
    <w:p w14:paraId="121BF19C">
      <w:pPr>
        <w:widowControl/>
        <w:spacing w:after="120" w:line="312" w:lineRule="auto"/>
        <w:ind w:firstLine="480" w:firstLineChars="200"/>
        <w:jc w:val="left"/>
        <w:rPr>
          <w:rFonts w:ascii="Calibri" w:hAnsi="Calibri" w:eastAsia="宋体" w:cs="Times New Roman"/>
          <w:smallCaps/>
          <w:sz w:val="24"/>
          <w:szCs w:val="24"/>
        </w:rPr>
      </w:pPr>
    </w:p>
    <w:tbl>
      <w:tblPr>
        <w:tblStyle w:val="13"/>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6127"/>
      </w:tblGrid>
      <w:tr w14:paraId="3161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195" w:type="dxa"/>
            <w:gridSpan w:val="2"/>
            <w:tcBorders>
              <w:top w:val="single" w:color="auto" w:sz="4" w:space="0"/>
              <w:left w:val="single" w:color="auto" w:sz="4" w:space="0"/>
              <w:bottom w:val="single" w:color="auto" w:sz="4" w:space="0"/>
              <w:right w:val="single" w:color="auto" w:sz="4" w:space="0"/>
            </w:tcBorders>
            <w:vAlign w:val="center"/>
          </w:tcPr>
          <w:p w14:paraId="464E3080">
            <w:pPr>
              <w:spacing w:after="156" w:afterLines="50"/>
              <w:jc w:val="center"/>
              <w:rPr>
                <w:rFonts w:ascii="Calibri" w:hAnsi="Calibri" w:eastAsia="宋体" w:cs="Times New Roman"/>
                <w:sz w:val="24"/>
                <w:szCs w:val="24"/>
              </w:rPr>
            </w:pPr>
            <w:r>
              <w:rPr>
                <w:rFonts w:hint="eastAsia" w:ascii="仿宋" w:hAnsi="仿宋" w:eastAsia="仿宋" w:cs="仿宋"/>
                <w:b/>
                <w:bCs/>
                <w:color w:val="000000"/>
                <w:sz w:val="24"/>
                <w:szCs w:val="24"/>
                <w:lang w:bidi="ar"/>
              </w:rPr>
              <w:t>厂商基本信息表</w:t>
            </w:r>
          </w:p>
        </w:tc>
      </w:tr>
      <w:tr w14:paraId="1D7B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0221C52B">
            <w:pPr>
              <w:spacing w:after="156" w:afterLines="50"/>
              <w:rPr>
                <w:rFonts w:ascii="Calibri" w:hAnsi="Calibri" w:eastAsia="宋体" w:cs="Times New Roman"/>
                <w:sz w:val="24"/>
                <w:szCs w:val="24"/>
              </w:rPr>
            </w:pPr>
            <w:r>
              <w:rPr>
                <w:rFonts w:hint="eastAsia" w:ascii="Calibri" w:hAnsi="Calibri" w:eastAsia="宋体" w:cs="Times New Roman"/>
                <w:sz w:val="24"/>
                <w:szCs w:val="24"/>
              </w:rPr>
              <w:t>产品相关产业发展情况（请详述全国产业情况及本公司发展情况）</w:t>
            </w:r>
          </w:p>
        </w:tc>
        <w:tc>
          <w:tcPr>
            <w:tcW w:w="6127" w:type="dxa"/>
            <w:tcBorders>
              <w:top w:val="single" w:color="auto" w:sz="4" w:space="0"/>
              <w:left w:val="single" w:color="auto" w:sz="4" w:space="0"/>
              <w:bottom w:val="single" w:color="auto" w:sz="4" w:space="0"/>
              <w:right w:val="single" w:color="auto" w:sz="4" w:space="0"/>
            </w:tcBorders>
            <w:vAlign w:val="center"/>
          </w:tcPr>
          <w:p w14:paraId="5FD9A442">
            <w:pPr>
              <w:spacing w:after="156" w:afterLines="50"/>
              <w:rPr>
                <w:rFonts w:ascii="Calibri" w:hAnsi="Calibri" w:eastAsia="宋体" w:cs="Times New Roman"/>
                <w:sz w:val="24"/>
                <w:szCs w:val="24"/>
              </w:rPr>
            </w:pPr>
            <w:r>
              <w:rPr>
                <w:rFonts w:hint="eastAsia" w:ascii="Calibri" w:hAnsi="Calibri" w:eastAsia="宋体" w:cs="Times New Roman"/>
                <w:sz w:val="24"/>
                <w:szCs w:val="24"/>
              </w:rPr>
              <w:t>文字描述</w:t>
            </w:r>
          </w:p>
          <w:p w14:paraId="33EFE09B">
            <w:pPr>
              <w:spacing w:after="156" w:afterLines="50"/>
              <w:rPr>
                <w:rFonts w:ascii="Calibri" w:hAnsi="Calibri" w:eastAsia="宋体" w:cs="Times New Roman"/>
                <w:sz w:val="24"/>
                <w:szCs w:val="24"/>
              </w:rPr>
            </w:pPr>
            <w:r>
              <w:rPr>
                <w:rFonts w:hint="eastAsia" w:ascii="Calibri" w:hAnsi="Calibri" w:eastAsia="宋体" w:cs="Times New Roman"/>
                <w:sz w:val="24"/>
                <w:szCs w:val="24"/>
              </w:rPr>
              <w:t>1.全国情况：</w:t>
            </w:r>
          </w:p>
          <w:p w14:paraId="17C02645">
            <w:pPr>
              <w:spacing w:after="156" w:afterLines="50"/>
              <w:rPr>
                <w:rFonts w:ascii="Calibri" w:hAnsi="Calibri" w:eastAsia="宋体" w:cs="Times New Roman"/>
                <w:sz w:val="24"/>
                <w:szCs w:val="24"/>
              </w:rPr>
            </w:pPr>
            <w:r>
              <w:rPr>
                <w:rFonts w:hint="eastAsia" w:ascii="Calibri" w:hAnsi="Calibri" w:eastAsia="宋体" w:cs="Times New Roman"/>
                <w:sz w:val="24"/>
                <w:szCs w:val="24"/>
              </w:rPr>
              <w:t>2.本公司情况：</w:t>
            </w:r>
          </w:p>
        </w:tc>
      </w:tr>
      <w:tr w14:paraId="0506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2DE79A93">
            <w:pPr>
              <w:spacing w:after="156" w:afterLines="50"/>
              <w:rPr>
                <w:rFonts w:ascii="Calibri" w:hAnsi="Calibri" w:eastAsia="宋体" w:cs="Times New Roman"/>
                <w:sz w:val="24"/>
                <w:szCs w:val="24"/>
              </w:rPr>
            </w:pPr>
            <w:r>
              <w:rPr>
                <w:rFonts w:hint="eastAsia" w:ascii="Calibri" w:hAnsi="Calibri" w:eastAsia="宋体" w:cs="Times New Roman"/>
                <w:sz w:val="24"/>
                <w:szCs w:val="24"/>
              </w:rPr>
              <w:t>产品市场供给情况（简述本公司年供给情况，且另附佐证材料）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67B4F48E">
            <w:pPr>
              <w:spacing w:after="156" w:afterLines="50"/>
              <w:rPr>
                <w:rFonts w:ascii="Calibri" w:hAnsi="Calibri" w:eastAsia="宋体" w:cs="Times New Roman"/>
                <w:sz w:val="24"/>
                <w:szCs w:val="24"/>
              </w:rPr>
            </w:pPr>
            <w:r>
              <w:rPr>
                <w:rFonts w:hint="eastAsia" w:ascii="Calibri" w:hAnsi="Calibri" w:eastAsia="宋体" w:cs="Times New Roman"/>
                <w:sz w:val="24"/>
                <w:szCs w:val="24"/>
              </w:rPr>
              <w:t>文字描述</w:t>
            </w:r>
          </w:p>
        </w:tc>
      </w:tr>
      <w:tr w14:paraId="232D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324E652E">
            <w:pPr>
              <w:spacing w:after="156" w:afterLines="50"/>
              <w:rPr>
                <w:rFonts w:ascii="Calibri" w:hAnsi="Calibri" w:eastAsia="宋体" w:cs="Times New Roman"/>
                <w:sz w:val="24"/>
                <w:szCs w:val="24"/>
              </w:rPr>
            </w:pPr>
            <w:r>
              <w:rPr>
                <w:rFonts w:hint="eastAsia" w:ascii="Calibri" w:hAnsi="Calibri" w:eastAsia="宋体" w:cs="Times New Roman"/>
                <w:sz w:val="24"/>
                <w:szCs w:val="24"/>
              </w:rPr>
              <w:t>同类产品成交情况（进三年的成交情况，且另附佐证材料）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7AC529B6">
            <w:pPr>
              <w:spacing w:after="156" w:afterLines="50"/>
              <w:rPr>
                <w:rFonts w:ascii="Calibri" w:hAnsi="Calibri" w:eastAsia="宋体" w:cs="Times New Roman"/>
                <w:sz w:val="24"/>
                <w:szCs w:val="24"/>
              </w:rPr>
            </w:pPr>
            <w:r>
              <w:rPr>
                <w:rFonts w:hint="eastAsia" w:ascii="Calibri" w:hAnsi="Calibri" w:eastAsia="宋体" w:cs="Times New Roman"/>
                <w:sz w:val="24"/>
                <w:szCs w:val="24"/>
              </w:rPr>
              <w:t>文字描述</w:t>
            </w:r>
          </w:p>
        </w:tc>
      </w:tr>
      <w:tr w14:paraId="6AA8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5D39A0E4">
            <w:pPr>
              <w:spacing w:after="156" w:afterLines="50"/>
              <w:rPr>
                <w:rFonts w:ascii="Calibri" w:hAnsi="Calibri" w:eastAsia="宋体" w:cs="Times New Roman"/>
                <w:sz w:val="24"/>
                <w:szCs w:val="24"/>
              </w:rPr>
            </w:pPr>
            <w:r>
              <w:rPr>
                <w:rFonts w:hint="eastAsia" w:ascii="Calibri" w:hAnsi="Calibri" w:eastAsia="宋体" w:cs="Times New Roman"/>
                <w:sz w:val="24"/>
                <w:szCs w:val="24"/>
              </w:rPr>
              <w:t>公司企业类型（另附佐证材料）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61966BBC">
            <w:pPr>
              <w:spacing w:after="156" w:afterLines="50"/>
              <w:rPr>
                <w:rFonts w:ascii="Calibri" w:hAnsi="Calibri" w:eastAsia="宋体" w:cs="Times New Roman"/>
                <w:sz w:val="24"/>
                <w:szCs w:val="24"/>
              </w:rPr>
            </w:pPr>
            <w:r>
              <w:rPr>
                <w:rFonts w:hint="eastAsia" w:ascii="Calibri" w:hAnsi="Calibri" w:eastAsia="宋体" w:cs="Times New Roman"/>
                <w:sz w:val="24"/>
                <w:szCs w:val="24"/>
              </w:rPr>
              <w:t>大型企业（）中型企业（）小型企业（）微型企业（）监狱企业（）其他</w:t>
            </w:r>
            <w:r>
              <w:rPr>
                <w:rFonts w:ascii="Calibri" w:hAnsi="Calibri" w:eastAsia="宋体" w:cs="Times New Roman"/>
                <w:sz w:val="24"/>
                <w:szCs w:val="24"/>
              </w:rPr>
              <w:t>注：“是”打√</w:t>
            </w:r>
          </w:p>
        </w:tc>
      </w:tr>
    </w:tbl>
    <w:p w14:paraId="55A23EDF">
      <w:pPr>
        <w:spacing w:line="360" w:lineRule="auto"/>
        <w:jc w:val="right"/>
        <w:rPr>
          <w:rFonts w:ascii="仿宋_GB2312" w:hAnsi="仿宋_GB2312" w:eastAsia="仿宋_GB2312" w:cs="Times New Roman"/>
          <w:b/>
          <w:sz w:val="24"/>
          <w:szCs w:val="24"/>
        </w:rPr>
      </w:pPr>
    </w:p>
    <w:p w14:paraId="228843EA">
      <w:pPr>
        <w:spacing w:line="360" w:lineRule="auto"/>
        <w:jc w:val="right"/>
        <w:rPr>
          <w:rFonts w:ascii="仿宋_GB2312" w:hAnsi="仿宋_GB2312" w:eastAsia="仿宋_GB2312" w:cs="Times New Roman"/>
          <w:b/>
          <w:sz w:val="24"/>
          <w:szCs w:val="24"/>
        </w:rPr>
      </w:pPr>
      <w:r>
        <w:rPr>
          <w:rFonts w:hint="eastAsia" w:ascii="仿宋_GB2312" w:hAnsi="仿宋_GB2312" w:eastAsia="仿宋_GB2312" w:cs="Times New Roman"/>
          <w:b/>
          <w:sz w:val="24"/>
          <w:szCs w:val="24"/>
        </w:rPr>
        <w:t>厂家（商）：盖公章</w:t>
      </w:r>
    </w:p>
    <w:p w14:paraId="56F7E015">
      <w:pPr>
        <w:spacing w:after="156" w:afterLines="50"/>
        <w:jc w:val="right"/>
        <w:rPr>
          <w:rFonts w:ascii="Calibri" w:hAnsi="Calibri" w:eastAsia="宋体" w:cs="Times New Roman"/>
          <w:sz w:val="24"/>
          <w:szCs w:val="24"/>
        </w:rPr>
      </w:pPr>
      <w:r>
        <w:rPr>
          <w:rFonts w:hint="eastAsia" w:ascii="仿宋_GB2312" w:hAnsi="仿宋_GB2312" w:eastAsia="仿宋_GB2312" w:cs="Times New Roman"/>
          <w:b/>
          <w:sz w:val="28"/>
          <w:szCs w:val="24"/>
        </w:rPr>
        <w:t>日期：   年   月   日</w:t>
      </w:r>
    </w:p>
    <w:p w14:paraId="2601D20A">
      <w:pPr>
        <w:rPr>
          <w:rFonts w:ascii="Calibri" w:hAnsi="Calibri" w:eastAsia="宋体" w:cs="Times New Roman"/>
          <w:sz w:val="24"/>
          <w:szCs w:val="24"/>
        </w:rPr>
      </w:pPr>
    </w:p>
    <w:p w14:paraId="714D25F9">
      <w:pPr>
        <w:spacing w:after="156" w:afterLines="50"/>
        <w:rPr>
          <w:rFonts w:ascii="Calibri" w:hAnsi="Calibri" w:eastAsia="宋体" w:cs="Times New Roman"/>
          <w:sz w:val="24"/>
          <w:szCs w:val="24"/>
        </w:rPr>
      </w:pPr>
      <w:r>
        <w:rPr>
          <w:rFonts w:ascii="Calibri" w:hAnsi="Calibri" w:eastAsia="宋体" w:cs="Times New Roman"/>
          <w:sz w:val="24"/>
          <w:szCs w:val="24"/>
        </w:rPr>
        <w:br w:type="page"/>
      </w:r>
    </w:p>
    <w:p w14:paraId="1BF2D966">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成都市第二人民医院</w:t>
      </w:r>
    </w:p>
    <w:p w14:paraId="4362E51A">
      <w:pPr>
        <w:jc w:val="center"/>
        <w:rPr>
          <w:rFonts w:ascii="方正小标宋简体" w:hAnsi="方正小标宋简体" w:eastAsia="方正小标宋简体" w:cs="Times New Roman"/>
          <w:sz w:val="36"/>
          <w:szCs w:val="36"/>
        </w:rPr>
      </w:pPr>
      <w:r>
        <w:rPr>
          <w:rFonts w:hint="eastAsia" w:ascii="方正小标宋_GBK" w:hAnsi="方正小标宋_GBK" w:eastAsia="方正小标宋_GBK" w:cs="方正小标宋_GBK"/>
          <w:sz w:val="36"/>
          <w:szCs w:val="36"/>
        </w:rPr>
        <w:t>人力资源信息系统采购项目报价表</w:t>
      </w:r>
    </w:p>
    <w:p w14:paraId="66FD0E17">
      <w:pPr>
        <w:rPr>
          <w:rFonts w:ascii="Calibri" w:hAnsi="Calibri" w:eastAsia="宋体" w:cs="Times New Roman"/>
          <w:sz w:val="24"/>
          <w:szCs w:val="24"/>
        </w:rPr>
      </w:pPr>
    </w:p>
    <w:tbl>
      <w:tblPr>
        <w:tblStyle w:val="13"/>
        <w:tblW w:w="9474" w:type="dxa"/>
        <w:jc w:val="center"/>
        <w:tblLayout w:type="fixed"/>
        <w:tblCellMar>
          <w:top w:w="0" w:type="dxa"/>
          <w:left w:w="0" w:type="dxa"/>
          <w:bottom w:w="0" w:type="dxa"/>
          <w:right w:w="0" w:type="dxa"/>
        </w:tblCellMar>
      </w:tblPr>
      <w:tblGrid>
        <w:gridCol w:w="1413"/>
        <w:gridCol w:w="2561"/>
        <w:gridCol w:w="2760"/>
        <w:gridCol w:w="1888"/>
        <w:gridCol w:w="852"/>
      </w:tblGrid>
      <w:tr w14:paraId="7A51BC31">
        <w:tblPrEx>
          <w:tblCellMar>
            <w:top w:w="0" w:type="dxa"/>
            <w:left w:w="0" w:type="dxa"/>
            <w:bottom w:w="0" w:type="dxa"/>
            <w:right w:w="0" w:type="dxa"/>
          </w:tblCellMar>
        </w:tblPrEx>
        <w:trPr>
          <w:trHeight w:val="710" w:hRule="atLeast"/>
          <w:jc w:val="center"/>
        </w:trPr>
        <w:tc>
          <w:tcPr>
            <w:tcW w:w="14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3FE91FC">
            <w:pPr>
              <w:jc w:val="center"/>
              <w:rPr>
                <w:rFonts w:ascii="Calibri" w:hAnsi="Calibri" w:eastAsia="宋体" w:cs="Times New Roman"/>
                <w:sz w:val="24"/>
                <w:szCs w:val="24"/>
              </w:rPr>
            </w:pPr>
            <w:r>
              <w:rPr>
                <w:rFonts w:hint="eastAsia" w:ascii="Calibri" w:hAnsi="Calibri" w:eastAsia="宋体" w:cs="Times New Roman"/>
                <w:sz w:val="24"/>
                <w:szCs w:val="24"/>
              </w:rPr>
              <w:t>项目</w:t>
            </w:r>
          </w:p>
        </w:tc>
        <w:tc>
          <w:tcPr>
            <w:tcW w:w="256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6561159">
            <w:pPr>
              <w:jc w:val="center"/>
              <w:rPr>
                <w:rFonts w:ascii="Calibri" w:hAnsi="Calibri" w:eastAsia="宋体" w:cs="Times New Roman"/>
                <w:sz w:val="24"/>
                <w:szCs w:val="24"/>
              </w:rPr>
            </w:pPr>
            <w:r>
              <w:rPr>
                <w:rFonts w:hint="eastAsia" w:ascii="Calibri" w:hAnsi="Calibri" w:eastAsia="宋体" w:cs="Times New Roman"/>
                <w:sz w:val="24"/>
                <w:szCs w:val="24"/>
              </w:rPr>
              <w:t>内容</w:t>
            </w:r>
          </w:p>
        </w:tc>
        <w:tc>
          <w:tcPr>
            <w:tcW w:w="276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9B0D1D3">
            <w:pPr>
              <w:jc w:val="center"/>
              <w:rPr>
                <w:rFonts w:ascii="Calibri" w:hAnsi="Calibri" w:eastAsia="宋体" w:cs="Times New Roman"/>
                <w:sz w:val="24"/>
                <w:szCs w:val="24"/>
              </w:rPr>
            </w:pPr>
            <w:r>
              <w:rPr>
                <w:rFonts w:hint="eastAsia" w:ascii="Calibri" w:hAnsi="Calibri" w:eastAsia="宋体" w:cs="Times New Roman"/>
                <w:sz w:val="24"/>
                <w:szCs w:val="24"/>
              </w:rPr>
              <w:t>用途</w:t>
            </w:r>
          </w:p>
        </w:tc>
        <w:tc>
          <w:tcPr>
            <w:tcW w:w="188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9A5A30E">
            <w:pPr>
              <w:jc w:val="center"/>
              <w:rPr>
                <w:rFonts w:ascii="Calibri" w:hAnsi="Calibri" w:eastAsia="宋体" w:cs="Times New Roman"/>
                <w:sz w:val="24"/>
                <w:szCs w:val="24"/>
              </w:rPr>
            </w:pPr>
            <w:r>
              <w:rPr>
                <w:rFonts w:hint="eastAsia" w:ascii="Calibri" w:hAnsi="Calibri" w:eastAsia="宋体" w:cs="Times New Roman"/>
                <w:sz w:val="24"/>
                <w:szCs w:val="24"/>
              </w:rPr>
              <w:t>报价</w:t>
            </w:r>
          </w:p>
        </w:tc>
        <w:tc>
          <w:tcPr>
            <w:tcW w:w="8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69279AB">
            <w:pPr>
              <w:jc w:val="center"/>
              <w:rPr>
                <w:rFonts w:ascii="Calibri" w:hAnsi="Calibri" w:eastAsia="宋体" w:cs="Times New Roman"/>
                <w:sz w:val="24"/>
                <w:szCs w:val="24"/>
              </w:rPr>
            </w:pPr>
            <w:r>
              <w:rPr>
                <w:rFonts w:hint="eastAsia" w:ascii="Calibri" w:hAnsi="Calibri" w:eastAsia="宋体" w:cs="Times New Roman"/>
                <w:sz w:val="24"/>
                <w:szCs w:val="24"/>
              </w:rPr>
              <w:t>备注</w:t>
            </w:r>
          </w:p>
        </w:tc>
      </w:tr>
      <w:tr w14:paraId="7DE7073E">
        <w:tblPrEx>
          <w:tblCellMar>
            <w:top w:w="0" w:type="dxa"/>
            <w:left w:w="0" w:type="dxa"/>
            <w:bottom w:w="0" w:type="dxa"/>
            <w:right w:w="0" w:type="dxa"/>
          </w:tblCellMar>
        </w:tblPrEx>
        <w:trPr>
          <w:trHeight w:val="2110" w:hRule="atLeast"/>
          <w:jc w:val="center"/>
        </w:trPr>
        <w:tc>
          <w:tcPr>
            <w:tcW w:w="14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73D959A">
            <w:pPr>
              <w:rPr>
                <w:rFonts w:ascii="Calibri" w:hAnsi="Calibri" w:eastAsia="宋体" w:cs="Times New Roman"/>
                <w:sz w:val="24"/>
                <w:szCs w:val="24"/>
              </w:rPr>
            </w:pPr>
            <w:r>
              <w:rPr>
                <w:rFonts w:hint="eastAsia" w:ascii="Calibri" w:hAnsi="Calibri" w:eastAsia="宋体" w:cs="Times New Roman"/>
                <w:sz w:val="24"/>
                <w:szCs w:val="24"/>
              </w:rPr>
              <w:t>人力资源信息系统</w:t>
            </w:r>
          </w:p>
        </w:tc>
        <w:tc>
          <w:tcPr>
            <w:tcW w:w="256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B9674E9">
            <w:pPr>
              <w:rPr>
                <w:rFonts w:ascii="Calibri" w:hAnsi="Calibri" w:eastAsia="宋体" w:cs="Times New Roman"/>
                <w:sz w:val="24"/>
                <w:szCs w:val="24"/>
              </w:rPr>
            </w:pPr>
            <w:r>
              <w:rPr>
                <w:rFonts w:hint="eastAsia" w:ascii="Calibri" w:hAnsi="Calibri" w:eastAsia="宋体" w:cs="Times New Roman"/>
                <w:sz w:val="24"/>
                <w:szCs w:val="24"/>
              </w:rPr>
              <w:t>详见建设需求。</w:t>
            </w:r>
          </w:p>
        </w:tc>
        <w:tc>
          <w:tcPr>
            <w:tcW w:w="27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77DEF04">
            <w:pPr>
              <w:rPr>
                <w:rFonts w:ascii="Calibri" w:hAnsi="Calibri" w:eastAsia="宋体" w:cs="Times New Roman"/>
                <w:sz w:val="24"/>
                <w:szCs w:val="24"/>
              </w:rPr>
            </w:pPr>
            <w:r>
              <w:rPr>
                <w:rFonts w:hint="eastAsia" w:ascii="Calibri" w:hAnsi="Calibri" w:eastAsia="宋体" w:cs="Times New Roman"/>
                <w:sz w:val="24"/>
                <w:szCs w:val="24"/>
              </w:rPr>
              <w:t>用于实现医院人力资源管理的信息化，提高管理效能。</w:t>
            </w:r>
          </w:p>
        </w:tc>
        <w:tc>
          <w:tcPr>
            <w:tcW w:w="18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E2BB497">
            <w:pPr>
              <w:rPr>
                <w:rFonts w:ascii="Calibri" w:hAnsi="Calibri" w:eastAsia="宋体" w:cs="Times New Roman"/>
                <w:sz w:val="24"/>
                <w:szCs w:val="24"/>
              </w:rPr>
            </w:pPr>
          </w:p>
        </w:tc>
        <w:tc>
          <w:tcPr>
            <w:tcW w:w="8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483D26B">
            <w:pPr>
              <w:rPr>
                <w:rFonts w:ascii="Calibri" w:hAnsi="Calibri" w:eastAsia="宋体" w:cs="Times New Roman"/>
                <w:sz w:val="24"/>
                <w:szCs w:val="24"/>
              </w:rPr>
            </w:pPr>
          </w:p>
        </w:tc>
      </w:tr>
    </w:tbl>
    <w:p w14:paraId="59FD2119">
      <w:pPr>
        <w:ind w:left="619" w:leftChars="295"/>
        <w:rPr>
          <w:rFonts w:ascii="Calibri" w:hAnsi="Calibri" w:eastAsia="宋体" w:cs="Times New Roman"/>
          <w:sz w:val="24"/>
          <w:szCs w:val="24"/>
        </w:rPr>
      </w:pPr>
    </w:p>
    <w:p w14:paraId="4769D148">
      <w:pPr>
        <w:widowControl/>
        <w:spacing w:after="120" w:line="360" w:lineRule="auto"/>
        <w:ind w:firstLine="720" w:firstLineChars="300"/>
        <w:jc w:val="left"/>
        <w:rPr>
          <w:rFonts w:ascii="Calibri" w:hAnsi="Calibri" w:eastAsia="宋体" w:cs="Times New Roman"/>
          <w:smallCaps/>
          <w:sz w:val="24"/>
          <w:szCs w:val="24"/>
        </w:rPr>
      </w:pPr>
      <w:r>
        <w:rPr>
          <w:rFonts w:hint="eastAsia" w:ascii="Calibri" w:hAnsi="Calibri" w:eastAsia="宋体" w:cs="Times New Roman"/>
          <w:smallCaps/>
          <w:sz w:val="24"/>
          <w:szCs w:val="24"/>
        </w:rPr>
        <w:t>报价公司：</w:t>
      </w:r>
    </w:p>
    <w:p w14:paraId="43964543">
      <w:pPr>
        <w:widowControl/>
        <w:spacing w:after="120" w:line="360" w:lineRule="auto"/>
        <w:ind w:firstLine="720" w:firstLineChars="300"/>
        <w:jc w:val="left"/>
        <w:rPr>
          <w:rFonts w:ascii="Calibri" w:hAnsi="Calibri" w:eastAsia="宋体" w:cs="Times New Roman"/>
          <w:smallCaps/>
          <w:sz w:val="24"/>
          <w:szCs w:val="24"/>
        </w:rPr>
      </w:pPr>
      <w:r>
        <w:rPr>
          <w:rFonts w:hint="eastAsia" w:ascii="Calibri" w:hAnsi="Calibri" w:eastAsia="宋体" w:cs="Times New Roman"/>
          <w:smallCaps/>
          <w:sz w:val="24"/>
          <w:szCs w:val="24"/>
        </w:rPr>
        <w:t>联系方式：</w:t>
      </w:r>
    </w:p>
    <w:p w14:paraId="4518EFFC">
      <w:pPr>
        <w:widowControl/>
        <w:spacing w:after="120" w:line="360" w:lineRule="auto"/>
        <w:ind w:firstLine="720" w:firstLineChars="300"/>
        <w:jc w:val="left"/>
        <w:rPr>
          <w:rFonts w:ascii="Calibri" w:hAnsi="Calibri" w:eastAsia="宋体" w:cs="Times New Roman"/>
          <w:smallCaps/>
          <w:sz w:val="24"/>
          <w:szCs w:val="24"/>
        </w:rPr>
      </w:pPr>
      <w:r>
        <w:rPr>
          <w:rFonts w:hint="eastAsia" w:ascii="Calibri" w:hAnsi="Calibri" w:eastAsia="宋体" w:cs="Times New Roman"/>
          <w:smallCaps/>
          <w:sz w:val="24"/>
          <w:szCs w:val="24"/>
        </w:rPr>
        <w:t>是否对需求内容完全响应：</w:t>
      </w:r>
    </w:p>
    <w:p w14:paraId="3E6B326D">
      <w:pPr>
        <w:widowControl/>
        <w:spacing w:after="120" w:line="360" w:lineRule="auto"/>
        <w:ind w:firstLine="720" w:firstLineChars="300"/>
        <w:jc w:val="left"/>
        <w:rPr>
          <w:rFonts w:ascii="Calibri" w:hAnsi="Calibri" w:eastAsia="宋体" w:cs="Times New Roman"/>
          <w:smallCaps/>
          <w:sz w:val="24"/>
          <w:szCs w:val="24"/>
        </w:rPr>
      </w:pPr>
      <w:r>
        <w:rPr>
          <w:rFonts w:hint="eastAsia" w:ascii="Calibri" w:hAnsi="Calibri" w:eastAsia="宋体" w:cs="Times New Roman"/>
          <w:smallCaps/>
          <w:sz w:val="24"/>
          <w:szCs w:val="24"/>
        </w:rPr>
        <w:t>日期：</w:t>
      </w:r>
    </w:p>
    <w:p w14:paraId="47550CED">
      <w:pPr>
        <w:widowControl/>
        <w:spacing w:after="120" w:line="360" w:lineRule="auto"/>
        <w:ind w:firstLine="720" w:firstLineChars="300"/>
        <w:jc w:val="left"/>
        <w:rPr>
          <w:rFonts w:ascii="Calibri" w:hAnsi="Calibri" w:eastAsia="宋体" w:cs="Times New Roman"/>
          <w:smallCaps/>
          <w:sz w:val="24"/>
          <w:szCs w:val="24"/>
        </w:rPr>
      </w:pPr>
    </w:p>
    <w:p w14:paraId="4DC5D300">
      <w:pPr>
        <w:widowControl/>
        <w:spacing w:after="120" w:line="360" w:lineRule="auto"/>
        <w:ind w:firstLine="720" w:firstLineChars="300"/>
        <w:jc w:val="left"/>
        <w:rPr>
          <w:rFonts w:ascii="Calibri" w:hAnsi="Calibri" w:eastAsia="宋体" w:cs="Times New Roman"/>
          <w:smallCaps/>
          <w:sz w:val="24"/>
          <w:szCs w:val="24"/>
        </w:rPr>
      </w:pPr>
    </w:p>
    <w:p w14:paraId="751FB966">
      <w:pPr>
        <w:rPr>
          <w:rFonts w:ascii="Calibri" w:hAnsi="Calibri" w:eastAsia="宋体" w:cs="Times New Roman"/>
          <w:sz w:val="24"/>
          <w:szCs w:val="24"/>
        </w:rPr>
      </w:pPr>
    </w:p>
    <w:p w14:paraId="2322C60F">
      <w:pPr>
        <w:rPr>
          <w:rFonts w:ascii="Calibri" w:hAnsi="Calibri" w:eastAsia="宋体" w:cs="Times New Roman"/>
          <w:sz w:val="24"/>
          <w:szCs w:val="24"/>
        </w:rPr>
      </w:pPr>
      <w:r>
        <w:rPr>
          <w:rFonts w:ascii="Calibri" w:hAnsi="Calibri" w:eastAsia="宋体" w:cs="Times New Roman"/>
          <w:sz w:val="24"/>
          <w:szCs w:val="24"/>
        </w:rPr>
        <w:br w:type="page"/>
      </w:r>
    </w:p>
    <w:p w14:paraId="76630D4D">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成都市第二人民医院</w:t>
      </w:r>
    </w:p>
    <w:p w14:paraId="2FE7C1C3">
      <w:pPr>
        <w:jc w:val="center"/>
        <w:rPr>
          <w:rFonts w:ascii="方正小标宋简体" w:hAnsi="方正小标宋简体" w:eastAsia="方正小标宋简体" w:cs="Times New Roman"/>
          <w:sz w:val="36"/>
          <w:szCs w:val="36"/>
        </w:rPr>
      </w:pPr>
      <w:r>
        <w:rPr>
          <w:rFonts w:hint="eastAsia" w:ascii="方正小标宋_GBK" w:hAnsi="方正小标宋_GBK" w:eastAsia="方正小标宋_GBK" w:cs="方正小标宋_GBK"/>
          <w:sz w:val="36"/>
          <w:szCs w:val="36"/>
        </w:rPr>
        <w:t>人力资源信息系统采购项目建设方案</w:t>
      </w:r>
    </w:p>
    <w:p w14:paraId="77849E67">
      <w:pPr>
        <w:jc w:val="center"/>
        <w:rPr>
          <w:rFonts w:ascii="Calibri" w:hAnsi="Calibri" w:eastAsia="宋体" w:cs="Times New Roman"/>
          <w:sz w:val="24"/>
          <w:szCs w:val="24"/>
        </w:rPr>
      </w:pPr>
      <w:r>
        <w:rPr>
          <w:rFonts w:hint="eastAsia" w:ascii="Calibri" w:hAnsi="Calibri" w:eastAsia="宋体" w:cs="Times New Roman"/>
          <w:sz w:val="24"/>
          <w:szCs w:val="24"/>
        </w:rPr>
        <w:t>（模板）</w:t>
      </w:r>
    </w:p>
    <w:p w14:paraId="77DF61F7">
      <w:pPr>
        <w:rPr>
          <w:rFonts w:ascii="Calibri" w:hAnsi="Calibri" w:eastAsia="宋体" w:cs="Times New Roman"/>
          <w:sz w:val="24"/>
          <w:szCs w:val="24"/>
        </w:rPr>
      </w:pPr>
    </w:p>
    <w:p w14:paraId="606F3FD3">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需求xxx</w:t>
      </w:r>
    </w:p>
    <w:p w14:paraId="122478C3">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1．需求xxx</w:t>
      </w:r>
    </w:p>
    <w:p w14:paraId="07E8B812">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回复：（是/否完全响应）</w:t>
      </w:r>
    </w:p>
    <w:p w14:paraId="6DCD0CDC">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具体方案：</w:t>
      </w:r>
    </w:p>
    <w:p w14:paraId="67B99672">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2.需求xxx</w:t>
      </w:r>
    </w:p>
    <w:p w14:paraId="3E0C0D9D">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回复：（是/否完全响应）</w:t>
      </w:r>
    </w:p>
    <w:p w14:paraId="43F18331">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具体方案：</w:t>
      </w:r>
    </w:p>
    <w:p w14:paraId="60F3562B">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3.需求xxx</w:t>
      </w:r>
    </w:p>
    <w:p w14:paraId="2203D5C5">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回复：（是/否完全响应）</w:t>
      </w:r>
    </w:p>
    <w:p w14:paraId="570EEB29">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具体方案：</w:t>
      </w:r>
    </w:p>
    <w:p w14:paraId="4AEE0E3A">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ascii="仿宋" w:hAnsi="仿宋" w:eastAsia="仿宋" w:cs="Times New Roman"/>
          <w:kern w:val="0"/>
          <w:sz w:val="28"/>
          <w:szCs w:val="28"/>
        </w:rPr>
        <w:t>二、其它</w:t>
      </w:r>
    </w:p>
    <w:p w14:paraId="2689F332">
      <w:pPr>
        <w:rPr>
          <w:szCs w:val="24"/>
        </w:rPr>
      </w:pPr>
    </w:p>
    <w:p w14:paraId="0E0760C5"/>
    <w:p w14:paraId="47BF7016">
      <w:pPr>
        <w:pStyle w:val="8"/>
        <w:spacing w:line="560" w:lineRule="exact"/>
        <w:ind w:firstLine="640" w:firstLineChars="200"/>
        <w:rPr>
          <w:rFonts w:ascii="方正仿宋_GBK" w:hAnsi="方正仿宋_GBK" w:eastAsia="方正仿宋_GBK" w:cs="方正仿宋_GBK"/>
          <w:color w:val="000000"/>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BF93F53-C0FE-45BD-AC22-F695F8AE0AAF}"/>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2" w:fontKey="{B956E889-ECE7-4D24-BD12-D21B2114DC15}"/>
  </w:font>
  <w:font w:name="方正仿宋_GBK">
    <w:panose1 w:val="03000509000000000000"/>
    <w:charset w:val="86"/>
    <w:family w:val="script"/>
    <w:pitch w:val="default"/>
    <w:sig w:usb0="00000001" w:usb1="080E0000" w:usb2="00000000" w:usb3="00000000" w:csb0="00040000" w:csb1="00000000"/>
    <w:embedRegular r:id="rId3" w:fontKey="{C88FC262-7A89-4F52-89DD-4757D89AAAFE}"/>
  </w:font>
  <w:font w:name="宋体-简">
    <w:altName w:val="宋体"/>
    <w:panose1 w:val="00000000000000000000"/>
    <w:charset w:val="86"/>
    <w:family w:val="auto"/>
    <w:pitch w:val="default"/>
    <w:sig w:usb0="00000000" w:usb1="00000000" w:usb2="00000000" w:usb3="00000000" w:csb0="00040000" w:csb1="00000000"/>
    <w:embedRegular r:id="rId4" w:fontKey="{B72D1BB1-4B98-4A6D-8276-781CD313DB14}"/>
  </w:font>
  <w:font w:name="仿宋">
    <w:panose1 w:val="02010609060101010101"/>
    <w:charset w:val="86"/>
    <w:family w:val="modern"/>
    <w:pitch w:val="default"/>
    <w:sig w:usb0="800002BF" w:usb1="38CF7CFA" w:usb2="00000016" w:usb3="00000000" w:csb0="00040001" w:csb1="00000000"/>
    <w:embedRegular r:id="rId5" w:fontKey="{F6347D0A-77C1-468B-9E01-821FEB2E6C1D}"/>
  </w:font>
  <w:font w:name="仿宋_GB2312">
    <w:altName w:val="仿宋"/>
    <w:panose1 w:val="00000000000000000000"/>
    <w:charset w:val="86"/>
    <w:family w:val="auto"/>
    <w:pitch w:val="default"/>
    <w:sig w:usb0="00000000" w:usb1="00000000" w:usb2="00000000" w:usb3="00000000" w:csb0="00040000" w:csb1="00000000"/>
    <w:embedRegular r:id="rId6" w:fontKey="{3A1D83A9-AEBA-4139-A225-E005D1B4B36A}"/>
  </w:font>
  <w:font w:name="方正小标宋简体">
    <w:panose1 w:val="02000000000000000000"/>
    <w:charset w:val="86"/>
    <w:family w:val="auto"/>
    <w:pitch w:val="default"/>
    <w:sig w:usb0="00000001" w:usb1="08000000" w:usb2="00000000" w:usb3="00000000" w:csb0="00040000" w:csb1="00000000"/>
    <w:embedRegular r:id="rId7" w:fontKey="{4AEB4B52-8E92-485D-887E-ABC903DA37F5}"/>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7C64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F25E8">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A3F25E8">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59E043"/>
    <w:multiLevelType w:val="singleLevel"/>
    <w:tmpl w:val="9259E043"/>
    <w:lvl w:ilvl="0" w:tentative="0">
      <w:start w:val="4"/>
      <w:numFmt w:val="chineseCounting"/>
      <w:suff w:val="nothing"/>
      <w:lvlText w:val="%1、"/>
      <w:lvlJc w:val="left"/>
      <w:rPr>
        <w:rFonts w:hint="eastAsia"/>
      </w:rPr>
    </w:lvl>
  </w:abstractNum>
  <w:abstractNum w:abstractNumId="1">
    <w:nsid w:val="CFB8C213"/>
    <w:multiLevelType w:val="singleLevel"/>
    <w:tmpl w:val="CFB8C213"/>
    <w:lvl w:ilvl="0" w:tentative="0">
      <w:start w:val="1"/>
      <w:numFmt w:val="decimal"/>
      <w:suff w:val="space"/>
      <w:lvlText w:val="%1."/>
      <w:lvlJc w:val="left"/>
    </w:lvl>
  </w:abstractNum>
  <w:abstractNum w:abstractNumId="2">
    <w:nsid w:val="53A26E5F"/>
    <w:multiLevelType w:val="singleLevel"/>
    <w:tmpl w:val="53A26E5F"/>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wYTc0NDY4OTJlODdiMWQ1M2M4NTgxMThkMjMyZDMifQ=="/>
  </w:docVars>
  <w:rsids>
    <w:rsidRoot w:val="724F7D41"/>
    <w:rsid w:val="0002572C"/>
    <w:rsid w:val="001E7106"/>
    <w:rsid w:val="002505FA"/>
    <w:rsid w:val="0025315D"/>
    <w:rsid w:val="002616F4"/>
    <w:rsid w:val="002E3F59"/>
    <w:rsid w:val="00361DF5"/>
    <w:rsid w:val="00377EB3"/>
    <w:rsid w:val="004716C4"/>
    <w:rsid w:val="004C4601"/>
    <w:rsid w:val="004E79B7"/>
    <w:rsid w:val="00750CB7"/>
    <w:rsid w:val="00775821"/>
    <w:rsid w:val="007B6100"/>
    <w:rsid w:val="007F1741"/>
    <w:rsid w:val="008E02B1"/>
    <w:rsid w:val="00993614"/>
    <w:rsid w:val="00A01E38"/>
    <w:rsid w:val="00A87DDE"/>
    <w:rsid w:val="00AD3036"/>
    <w:rsid w:val="00BE442B"/>
    <w:rsid w:val="00BF7774"/>
    <w:rsid w:val="00C248C0"/>
    <w:rsid w:val="00D44D15"/>
    <w:rsid w:val="00D70F84"/>
    <w:rsid w:val="00D97922"/>
    <w:rsid w:val="00E3205C"/>
    <w:rsid w:val="00E81249"/>
    <w:rsid w:val="00FC1DD7"/>
    <w:rsid w:val="04FD35C2"/>
    <w:rsid w:val="0E2A646C"/>
    <w:rsid w:val="0F2000E2"/>
    <w:rsid w:val="0F8C28C4"/>
    <w:rsid w:val="10BE3D21"/>
    <w:rsid w:val="139F22EC"/>
    <w:rsid w:val="145E6E6F"/>
    <w:rsid w:val="15316F7F"/>
    <w:rsid w:val="175234EF"/>
    <w:rsid w:val="18134809"/>
    <w:rsid w:val="1B495A57"/>
    <w:rsid w:val="1BCD4257"/>
    <w:rsid w:val="1BE74AE9"/>
    <w:rsid w:val="1C6F052B"/>
    <w:rsid w:val="1F1A2DDA"/>
    <w:rsid w:val="1FFF2217"/>
    <w:rsid w:val="23AE1199"/>
    <w:rsid w:val="23B16A4C"/>
    <w:rsid w:val="24A10119"/>
    <w:rsid w:val="28B12711"/>
    <w:rsid w:val="2B805B21"/>
    <w:rsid w:val="2C3F7E23"/>
    <w:rsid w:val="33857B1D"/>
    <w:rsid w:val="347A0A28"/>
    <w:rsid w:val="35E7DCD5"/>
    <w:rsid w:val="37A142D7"/>
    <w:rsid w:val="37EFEAE4"/>
    <w:rsid w:val="3C0160E9"/>
    <w:rsid w:val="3DDB906A"/>
    <w:rsid w:val="3FFB3451"/>
    <w:rsid w:val="47216FDF"/>
    <w:rsid w:val="51461F74"/>
    <w:rsid w:val="536305B4"/>
    <w:rsid w:val="571406EC"/>
    <w:rsid w:val="5A6F14D8"/>
    <w:rsid w:val="5ADC59C5"/>
    <w:rsid w:val="5C333752"/>
    <w:rsid w:val="5CE03F37"/>
    <w:rsid w:val="5EAFAC61"/>
    <w:rsid w:val="5FF724DD"/>
    <w:rsid w:val="607E55AF"/>
    <w:rsid w:val="64EC2971"/>
    <w:rsid w:val="6D9506ED"/>
    <w:rsid w:val="6F800592"/>
    <w:rsid w:val="71C25727"/>
    <w:rsid w:val="724F7D41"/>
    <w:rsid w:val="72EF7CA5"/>
    <w:rsid w:val="74951303"/>
    <w:rsid w:val="75FFE3BB"/>
    <w:rsid w:val="77FB4464"/>
    <w:rsid w:val="79CBA623"/>
    <w:rsid w:val="7BF1824E"/>
    <w:rsid w:val="7BFE065B"/>
    <w:rsid w:val="7BFF9FDD"/>
    <w:rsid w:val="7D3DF9F1"/>
    <w:rsid w:val="7FDF2945"/>
    <w:rsid w:val="7FFFB8CF"/>
    <w:rsid w:val="ACDB641C"/>
    <w:rsid w:val="B679088E"/>
    <w:rsid w:val="B97DD42C"/>
    <w:rsid w:val="D38F0A88"/>
    <w:rsid w:val="D3DE6268"/>
    <w:rsid w:val="D66E0BE8"/>
    <w:rsid w:val="EBF31523"/>
    <w:rsid w:val="EEBF6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b/>
      <w:bCs/>
      <w:sz w:val="32"/>
      <w:szCs w:val="32"/>
    </w:rPr>
  </w:style>
  <w:style w:type="paragraph" w:styleId="4">
    <w:name w:val="heading 3"/>
    <w:next w:val="1"/>
    <w:semiHidden/>
    <w:unhideWhenUsed/>
    <w:qFormat/>
    <w:uiPriority w:val="0"/>
    <w:pPr>
      <w:spacing w:beforeAutospacing="1" w:afterAutospacing="1"/>
      <w:outlineLvl w:val="2"/>
    </w:pPr>
    <w:rPr>
      <w:rFonts w:hint="eastAsia" w:ascii="宋体" w:hAnsi="宋体" w:eastAsia="宋体" w:cs="Times New Roman"/>
      <w:b/>
      <w:bCs/>
      <w:sz w:val="27"/>
      <w:szCs w:val="27"/>
      <w:lang w:val="en-US" w:eastAsia="zh-CN" w:bidi="ar-SA"/>
    </w:rPr>
  </w:style>
  <w:style w:type="paragraph" w:styleId="5">
    <w:name w:val="heading 4"/>
    <w:next w:val="1"/>
    <w:semiHidden/>
    <w:unhideWhenUsed/>
    <w:qFormat/>
    <w:uiPriority w:val="0"/>
    <w:pPr>
      <w:spacing w:beforeAutospacing="1" w:afterAutospacing="1"/>
      <w:outlineLvl w:val="3"/>
    </w:pPr>
    <w:rPr>
      <w:rFonts w:hint="eastAsia" w:ascii="宋体" w:hAnsi="宋体" w:eastAsia="宋体" w:cs="Times New Roman"/>
      <w:b/>
      <w:bCs/>
      <w:sz w:val="24"/>
      <w:szCs w:val="24"/>
      <w:lang w:val="en-US" w:eastAsia="zh-CN" w:bidi="ar-SA"/>
    </w:rPr>
  </w:style>
  <w:style w:type="paragraph" w:styleId="6">
    <w:name w:val="heading 5"/>
    <w:next w:val="1"/>
    <w:semiHidden/>
    <w:unhideWhenUsed/>
    <w:qFormat/>
    <w:uiPriority w:val="0"/>
    <w:pPr>
      <w:spacing w:beforeAutospacing="1" w:afterAutospacing="1"/>
      <w:outlineLvl w:val="4"/>
    </w:pPr>
    <w:rPr>
      <w:rFonts w:hint="eastAsia" w:ascii="宋体" w:hAnsi="宋体" w:eastAsia="宋体" w:cs="Times New Roman"/>
      <w:b/>
      <w:bCs/>
      <w:lang w:val="en-US" w:eastAsia="zh-CN" w:bidi="ar-SA"/>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unhideWhenUsed/>
    <w:qFormat/>
    <w:uiPriority w:val="99"/>
    <w:pPr>
      <w:spacing w:after="120"/>
    </w:pPr>
  </w:style>
  <w:style w:type="paragraph" w:styleId="9">
    <w:name w:val="Balloon Text"/>
    <w:basedOn w:val="1"/>
    <w:link w:val="22"/>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spacing w:beforeAutospacing="1" w:afterAutospacing="1"/>
      <w:jc w:val="left"/>
    </w:pPr>
    <w:rPr>
      <w:rFonts w:cs="Times New Roman"/>
      <w:kern w:val="0"/>
      <w:sz w:val="24"/>
      <w:szCs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paragraph" w:customStyle="1" w:styleId="18">
    <w:name w:val="列表段落1"/>
    <w:basedOn w:val="1"/>
    <w:qFormat/>
    <w:uiPriority w:val="34"/>
    <w:pPr>
      <w:ind w:firstLine="420" w:firstLineChars="200"/>
    </w:pPr>
  </w:style>
  <w:style w:type="paragraph" w:customStyle="1" w:styleId="19">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0">
    <w:name w:val="paragraph"/>
    <w:basedOn w:val="1"/>
    <w:semiHidden/>
    <w:qFormat/>
    <w:uiPriority w:val="0"/>
    <w:pPr>
      <w:widowControl/>
      <w:spacing w:before="100" w:beforeAutospacing="1" w:after="100" w:afterAutospacing="1"/>
      <w:jc w:val="left"/>
    </w:pPr>
    <w:rPr>
      <w:rFonts w:ascii="等线" w:hAnsi="等线" w:eastAsia="等线" w:cs="Times New Roman"/>
      <w:kern w:val="0"/>
      <w:sz w:val="24"/>
      <w:szCs w:val="24"/>
    </w:rPr>
  </w:style>
  <w:style w:type="paragraph" w:customStyle="1" w:styleId="21">
    <w:name w:val="null3"/>
    <w:qFormat/>
    <w:uiPriority w:val="0"/>
    <w:rPr>
      <w:rFonts w:hint="eastAsia" w:ascii="Calibri" w:hAnsi="Calibri" w:eastAsia="宋体" w:cs="Times New Roman"/>
      <w:lang w:val="en-US" w:eastAsia="zh-Hans" w:bidi="ar-SA"/>
    </w:rPr>
  </w:style>
  <w:style w:type="character" w:customStyle="1" w:styleId="22">
    <w:name w:val="批注框文本 Char"/>
    <w:basedOn w:val="15"/>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6547</Words>
  <Characters>6648</Characters>
  <Lines>122</Lines>
  <Paragraphs>34</Paragraphs>
  <TotalTime>6</TotalTime>
  <ScaleCrop>false</ScaleCrop>
  <LinksUpToDate>false</LinksUpToDate>
  <CharactersWithSpaces>6661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2025-04-18T00:37:00Z</dcterms:created>
  <dc:creator>Jiony.x</dc:creator>
  <cp:lastModifiedBy>陈柯岚</cp:lastModifiedBy>
  <cp:lastPrinted>2025-06-13T18:50:00Z</cp:lastPrinted>
  <dcterms:modified xsi:type="dcterms:W3CDTF">2026-03-18T06:22:50Z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504888AA883F4EC884306BAD72AF024D_13</vt:lpwstr>
  </property>
  <property fmtid="{D5CDD505-2E9C-101B-9397-08002B2CF9AE}" pid="4" name="KSOTemplateDocerSaveRecord">
    <vt:lpwstr>eyJoZGlkIjoiNzFlMjMwZGJkMDk0NjRmNTA4MmJkNjU5M2Y3ZjRhZmEiLCJ1c2VySWQiOiIxMDEwNTk2NjIzIn0=</vt:lpwstr>
  </property>
</Properties>
</file>