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BCC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640" w:lineRule="exact"/>
        <w:jc w:val="center"/>
        <w:textAlignment w:val="auto"/>
        <w:rPr>
          <w:rFonts w:hint="eastAsia" w:ascii="华文楷体" w:hAnsi="华文楷体" w:eastAsia="华文楷体" w:cs="华文楷体"/>
          <w:b/>
          <w:bCs/>
          <w:color w:val="333333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楷体" w:hAnsi="华文楷体" w:eastAsia="华文楷体" w:cs="华文楷体"/>
          <w:b/>
          <w:bCs/>
          <w:color w:val="333333"/>
          <w:sz w:val="44"/>
          <w:szCs w:val="44"/>
          <w:lang w:val="en-US" w:eastAsia="zh-CN"/>
        </w:rPr>
        <w:t>住院医师规范化培训综合管理平台系统</w:t>
      </w:r>
      <w:bookmarkEnd w:id="0"/>
    </w:p>
    <w:p w14:paraId="7BF1A3F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640" w:lineRule="exact"/>
        <w:jc w:val="center"/>
        <w:textAlignment w:val="auto"/>
        <w:rPr>
          <w:rFonts w:hint="eastAsia" w:ascii="华文楷体" w:hAnsi="华文楷体" w:eastAsia="华文楷体" w:cs="华文楷体"/>
          <w:b/>
          <w:bCs/>
          <w:kern w:val="36"/>
          <w:sz w:val="44"/>
          <w:szCs w:val="44"/>
        </w:rPr>
      </w:pPr>
      <w:r>
        <w:rPr>
          <w:rFonts w:hint="eastAsia" w:ascii="华文楷体" w:hAnsi="华文楷体" w:eastAsia="华文楷体" w:cs="华文楷体"/>
          <w:b/>
          <w:bCs/>
          <w:color w:val="333333"/>
          <w:sz w:val="44"/>
          <w:szCs w:val="44"/>
          <w:lang w:val="en-US" w:eastAsia="zh-CN"/>
        </w:rPr>
        <w:t>需求</w:t>
      </w:r>
    </w:p>
    <w:p w14:paraId="76901025">
      <w:pPr>
        <w:pStyle w:val="18"/>
        <w:spacing w:before="0" w:beforeAutospacing="0" w:after="0" w:afterAutospacing="0"/>
        <w:rPr>
          <w:rFonts w:hint="eastAsia" w:ascii="华文楷体" w:hAnsi="华文楷体" w:eastAsia="华文楷体" w:cs="华文楷体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6"/>
          <w:szCs w:val="36"/>
        </w:rPr>
        <w:t> </w:t>
      </w:r>
    </w:p>
    <w:p w14:paraId="09C4B4D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华文楷体" w:hAnsi="华文楷体" w:eastAsia="华文楷体" w:cs="华文楷体"/>
          <w:color w:val="00000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sz w:val="28"/>
          <w:szCs w:val="28"/>
          <w:lang w:val="en-US" w:eastAsia="zh-CN"/>
        </w:rPr>
        <w:t>病理住院医师培训</w:t>
      </w:r>
      <w:r>
        <w:rPr>
          <w:rFonts w:hint="eastAsia" w:ascii="华文楷体" w:hAnsi="华文楷体" w:eastAsia="华文楷体" w:cs="华文楷体"/>
          <w:color w:val="000000"/>
          <w:sz w:val="28"/>
          <w:szCs w:val="28"/>
        </w:rPr>
        <w:t>是培养临床医学人才的关键途径</w:t>
      </w:r>
      <w:r>
        <w:rPr>
          <w:rFonts w:hint="eastAsia" w:ascii="华文楷体" w:hAnsi="华文楷体" w:eastAsia="华文楷体" w:cs="华文楷体"/>
          <w:color w:val="000000"/>
          <w:sz w:val="28"/>
          <w:szCs w:val="28"/>
          <w:lang w:val="en-US" w:eastAsia="zh-CN"/>
        </w:rPr>
        <w:t>重要依据，病理医学教育研究是提升病理科科研与教学水平，进行病理人才培养的重要途径。本项目旨在构建一套专业化病理医师培训系统，发挥信息技术在病理培训、数据管理、流程质控等方面的重要支撑作用，通过对病理切片、分子诊断等核心病理资料及医教研工作的管理与分析，实现病理诊断和科研教学任务决策支撑。同时，依托系统建立病理培训资料及医教研质控保障机制，提升医疗服务质量。</w:t>
      </w:r>
    </w:p>
    <w:p w14:paraId="389A53E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华文楷体" w:hAnsi="华文楷体" w:eastAsia="华文楷体" w:cs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 w:cs="华文楷体"/>
          <w:color w:val="000000"/>
          <w:sz w:val="28"/>
          <w:szCs w:val="28"/>
        </w:rPr>
        <w:t>本项目实施需要使用计算存储资源</w:t>
      </w:r>
      <w:r>
        <w:rPr>
          <w:rFonts w:hint="eastAsia" w:ascii="华文楷体" w:hAnsi="华文楷体" w:eastAsia="华文楷体" w:cs="华文楷体"/>
          <w:color w:val="000000"/>
          <w:sz w:val="28"/>
          <w:szCs w:val="28"/>
          <w:lang w:val="en-US" w:eastAsia="zh-CN"/>
        </w:rPr>
        <w:t>及录像设备</w:t>
      </w:r>
      <w:r>
        <w:rPr>
          <w:rFonts w:hint="eastAsia" w:ascii="华文楷体" w:hAnsi="华文楷体" w:eastAsia="华文楷体" w:cs="华文楷体"/>
          <w:color w:val="000000"/>
          <w:sz w:val="28"/>
          <w:szCs w:val="28"/>
        </w:rPr>
        <w:t>，中标供应商应根据本身产品架构和使用需求，提供满</w:t>
      </w:r>
      <w:r>
        <w:rPr>
          <w:rFonts w:hint="eastAsia" w:ascii="华文楷体" w:hAnsi="华文楷体" w:eastAsia="华文楷体" w:cs="华文楷体"/>
          <w:color w:val="000000"/>
          <w:sz w:val="28"/>
          <w:szCs w:val="28"/>
          <w:lang w:val="en-US" w:eastAsia="zh-CN"/>
        </w:rPr>
        <w:t>相应的</w:t>
      </w:r>
      <w:r>
        <w:rPr>
          <w:rFonts w:hint="eastAsia" w:ascii="华文楷体" w:hAnsi="华文楷体" w:eastAsia="华文楷体" w:cs="华文楷体"/>
          <w:color w:val="000000"/>
          <w:sz w:val="28"/>
          <w:szCs w:val="28"/>
        </w:rPr>
        <w:t>计算存储资源及</w:t>
      </w:r>
      <w:r>
        <w:rPr>
          <w:rFonts w:hint="eastAsia" w:ascii="华文楷体" w:hAnsi="华文楷体" w:eastAsia="华文楷体" w:cs="华文楷体"/>
          <w:color w:val="000000"/>
          <w:sz w:val="28"/>
          <w:szCs w:val="28"/>
          <w:lang w:val="en-US" w:eastAsia="zh-CN"/>
        </w:rPr>
        <w:t>录像设备</w:t>
      </w:r>
      <w:r>
        <w:rPr>
          <w:rFonts w:hint="eastAsia" w:ascii="华文楷体" w:hAnsi="华文楷体" w:eastAsia="华文楷体" w:cs="华文楷体"/>
          <w:color w:val="000000"/>
          <w:sz w:val="28"/>
          <w:szCs w:val="28"/>
        </w:rPr>
        <w:t>相应</w:t>
      </w:r>
      <w:r>
        <w:rPr>
          <w:rFonts w:hint="eastAsia" w:ascii="华文楷体" w:hAnsi="华文楷体" w:eastAsia="华文楷体" w:cs="华文楷体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华文楷体" w:hAnsi="华文楷体" w:eastAsia="华文楷体" w:cs="华文楷体"/>
          <w:color w:val="000000"/>
          <w:sz w:val="28"/>
          <w:szCs w:val="28"/>
        </w:rPr>
        <w:t>操作系统。</w:t>
      </w:r>
    </w:p>
    <w:p w14:paraId="3EB7CC9A">
      <w:pPr>
        <w:pStyle w:val="18"/>
        <w:numPr>
          <w:ilvl w:val="0"/>
          <w:numId w:val="1"/>
        </w:numPr>
        <w:spacing w:before="0" w:beforeAutospacing="0" w:after="0" w:afterAutospacing="0"/>
        <w:ind w:left="0" w:leftChars="0" w:firstLine="641" w:firstLineChars="200"/>
        <w:jc w:val="both"/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</w:rPr>
        <w:t xml:space="preserve">软件功能参数要求 </w:t>
      </w:r>
    </w:p>
    <w:tbl>
      <w:tblPr>
        <w:tblStyle w:val="12"/>
        <w:tblW w:w="5830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80"/>
        <w:gridCol w:w="6857"/>
      </w:tblGrid>
      <w:tr w14:paraId="2C8A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89AF">
            <w:pPr>
              <w:pStyle w:val="18"/>
              <w:spacing w:before="0" w:beforeAutospacing="0" w:after="0" w:afterAutospacing="0"/>
              <w:jc w:val="center"/>
              <w:rPr>
                <w:rFonts w:hint="eastAsia" w:ascii="华文楷体" w:hAnsi="华文楷体" w:eastAsia="华文楷体" w:cs="华文楷体"/>
                <w:b/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4605">
            <w:pPr>
              <w:pStyle w:val="18"/>
              <w:spacing w:before="0" w:beforeAutospacing="0" w:after="0" w:afterAutospacing="0"/>
              <w:jc w:val="center"/>
              <w:rPr>
                <w:rFonts w:hint="eastAsia" w:ascii="华文楷体" w:hAnsi="华文楷体" w:eastAsia="华文楷体" w:cs="华文楷体"/>
                <w:b/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30"/>
                <w:szCs w:val="30"/>
              </w:rPr>
              <w:t>参数要求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9B64">
            <w:pPr>
              <w:pStyle w:val="18"/>
              <w:spacing w:before="0" w:beforeAutospacing="0" w:after="0" w:afterAutospacing="0"/>
              <w:jc w:val="center"/>
              <w:rPr>
                <w:rFonts w:hint="eastAsia" w:ascii="华文楷体" w:hAnsi="华文楷体" w:eastAsia="华文楷体" w:cs="华文楷体"/>
                <w:b/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30"/>
                <w:szCs w:val="30"/>
              </w:rPr>
              <w:t>详细说明</w:t>
            </w:r>
          </w:p>
        </w:tc>
      </w:tr>
      <w:tr w14:paraId="31A2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A2972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1"/>
                <w:szCs w:val="21"/>
                <w:lang w:bidi="ne-N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1"/>
                <w:szCs w:val="21"/>
                <w:lang w:bidi="ne-NP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55C53C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用户权限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0A79">
            <w:pPr>
              <w:numPr>
                <w:ilvl w:val="0"/>
                <w:numId w:val="2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包含管理员、教师、学生、教学督导组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个角色。</w:t>
            </w:r>
          </w:p>
        </w:tc>
      </w:tr>
      <w:tr w14:paraId="6AA6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47763F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1"/>
                <w:szCs w:val="21"/>
                <w:lang w:bidi="ne-N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1"/>
                <w:szCs w:val="21"/>
                <w:lang w:bidi="ne-N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302F4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入科教育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A1CD">
            <w:pPr>
              <w:numPr>
                <w:ilvl w:val="0"/>
                <w:numId w:val="3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本模块子分类为：科室情况、工作要求、培养计划、教学活动、技能操作、过程考核、其他。</w:t>
            </w:r>
          </w:p>
          <w:p w14:paraId="6A75257C">
            <w:pPr>
              <w:numPr>
                <w:ilvl w:val="0"/>
                <w:numId w:val="3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支持增、删、改、查、评价等基础功能。</w:t>
            </w:r>
          </w:p>
          <w:p w14:paraId="14709EE4">
            <w:pPr>
              <w:numPr>
                <w:ilvl w:val="0"/>
                <w:numId w:val="3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支持三屏录像：客户端摄录保存教师视角视频、学生视角视频及课件视频，一键录屏。视频结束后自动上传，并合并成一个画面至指定服务器位置。（以下简称三屏录像）</w:t>
            </w:r>
          </w:p>
          <w:p w14:paraId="5DC96D9F">
            <w:pPr>
              <w:numPr>
                <w:ilvl w:val="0"/>
                <w:numId w:val="3"/>
              </w:numPr>
              <w:jc w:val="left"/>
              <w:rPr>
                <w:rFonts w:hint="eastAsia" w:ascii="华文楷体" w:hAnsi="华文楷体" w:eastAsia="华文楷体" w:cs="华文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管理员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可查看本年度课程上传数量统计。</w:t>
            </w:r>
          </w:p>
        </w:tc>
      </w:tr>
      <w:tr w14:paraId="0171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2D215F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1"/>
                <w:szCs w:val="21"/>
                <w:lang w:bidi="ne-N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1"/>
                <w:szCs w:val="21"/>
                <w:lang w:bidi="ne-NP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6479CB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入基地教育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EFB9">
            <w:p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1、按照科室要求以及住院医师规范化培训专业基地评估要求进行分类。</w:t>
            </w:r>
          </w:p>
          <w:p w14:paraId="4F200ACC">
            <w:p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2、支持增、删、改、查、评价等基础功能。</w:t>
            </w:r>
          </w:p>
          <w:p w14:paraId="61622B85">
            <w:p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3、支持三屏录像。</w:t>
            </w:r>
          </w:p>
        </w:tc>
      </w:tr>
      <w:tr w14:paraId="43EE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5447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40B7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教学病例讨论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F69A">
            <w:pPr>
              <w:numPr>
                <w:ilvl w:val="0"/>
                <w:numId w:val="4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以病理亚专科为维度检索查看。</w:t>
            </w:r>
          </w:p>
          <w:p w14:paraId="48CC3194">
            <w:pPr>
              <w:numPr>
                <w:ilvl w:val="0"/>
                <w:numId w:val="4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支持新增上传课件，数字病理切片，影像图片等课程信息，支持删除、修改、查看等基础功能。</w:t>
            </w:r>
          </w:p>
          <w:p w14:paraId="5A441974">
            <w:pPr>
              <w:numPr>
                <w:ilvl w:val="0"/>
                <w:numId w:val="4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支持课程相关信息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查询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。</w:t>
            </w:r>
          </w:p>
          <w:p w14:paraId="37B3783A">
            <w:pPr>
              <w:numPr>
                <w:ilvl w:val="0"/>
                <w:numId w:val="4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支持三屏录像留档。</w:t>
            </w:r>
          </w:p>
        </w:tc>
      </w:tr>
      <w:tr w14:paraId="474C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8B19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CFA3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教学阅片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6A605F">
            <w:pPr>
              <w:numPr>
                <w:ilvl w:val="0"/>
                <w:numId w:val="5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以病理亚专科为维度检索查看。</w:t>
            </w:r>
          </w:p>
          <w:p w14:paraId="22CF3FD3">
            <w:pPr>
              <w:numPr>
                <w:ilvl w:val="0"/>
                <w:numId w:val="5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支持新增上传课件，数字病理切片，影像图片等课程信息，支持删除、修改、查看等基础功能。</w:t>
            </w:r>
          </w:p>
          <w:p w14:paraId="03932C4D">
            <w:pPr>
              <w:numPr>
                <w:ilvl w:val="0"/>
                <w:numId w:val="5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支持课程相关信息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查询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。</w:t>
            </w:r>
          </w:p>
          <w:p w14:paraId="17E82C5E">
            <w:p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4、支持三屏录制留档。</w:t>
            </w:r>
          </w:p>
        </w:tc>
      </w:tr>
      <w:tr w14:paraId="5EAE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3351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DF16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小讲课在线教学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28E59F">
            <w:pPr>
              <w:numPr>
                <w:ilvl w:val="0"/>
                <w:numId w:val="6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支持三屏录像。</w:t>
            </w:r>
          </w:p>
          <w:p w14:paraId="0BDB6E47">
            <w:pPr>
              <w:numPr>
                <w:ilvl w:val="0"/>
                <w:numId w:val="6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支持增、删、改、查、评价等基础功能。</w:t>
            </w:r>
          </w:p>
          <w:p w14:paraId="4A64C272">
            <w:pPr>
              <w:numPr>
                <w:ilvl w:val="0"/>
                <w:numId w:val="6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根据病理亚专科分类。</w:t>
            </w:r>
          </w:p>
          <w:p w14:paraId="6542FCA6">
            <w:pPr>
              <w:numPr>
                <w:ilvl w:val="0"/>
                <w:numId w:val="6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管理员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可查看本年度课程上传数量统计。</w:t>
            </w:r>
          </w:p>
        </w:tc>
      </w:tr>
      <w:tr w14:paraId="5C59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CBCF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FDF6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学员学习汇报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F73634">
            <w:pPr>
              <w:numPr>
                <w:ilvl w:val="0"/>
                <w:numId w:val="7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  <w:t>本模块下分为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  <w:t>个子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模块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  <w:t>：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过程考核汇报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  <w:t>、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临床文献研读会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  <w:t>。三级目录为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病理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  <w:t>亚专科。</w:t>
            </w:r>
          </w:p>
          <w:p w14:paraId="2575FE8B">
            <w:p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过程考核汇报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  <w:t>、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临床文献研读会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个子模块支持增、删、改、查、评价等基础功能。</w:t>
            </w:r>
          </w:p>
          <w:p w14:paraId="5E9F257B">
            <w:p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、支持三屏录像。</w:t>
            </w:r>
          </w:p>
        </w:tc>
      </w:tr>
      <w:tr w14:paraId="58D1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CF71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EC55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在线考试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370635">
            <w:pPr>
              <w:numPr>
                <w:ilvl w:val="0"/>
                <w:numId w:val="8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支持在线考试，自动阅卷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仅客观题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。</w:t>
            </w:r>
          </w:p>
          <w:p w14:paraId="78CF0FEF">
            <w:pPr>
              <w:numPr>
                <w:ilvl w:val="0"/>
                <w:numId w:val="8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题库管理：包含单项选择题、多项选择题、公共题干题、案例分析题等。支持新增自定义新增题目。</w:t>
            </w:r>
          </w:p>
          <w:p w14:paraId="62E41008">
            <w:pPr>
              <w:numPr>
                <w:ilvl w:val="0"/>
                <w:numId w:val="8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根据病理临床常见病种诊疗规范分类。</w:t>
            </w:r>
          </w:p>
          <w:p w14:paraId="16F4D8AE">
            <w:pPr>
              <w:numPr>
                <w:ilvl w:val="0"/>
                <w:numId w:val="8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试卷引用：支持同试卷不同年级重复使用。</w:t>
            </w:r>
          </w:p>
          <w:p w14:paraId="47337D3D">
            <w:pPr>
              <w:numPr>
                <w:ilvl w:val="0"/>
                <w:numId w:val="8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数据分析：试卷各年级人数、各分数段人数占比计算。题目准确率分析。本人本年度上传题目数量统计。</w:t>
            </w:r>
          </w:p>
          <w:p w14:paraId="2AC04C82">
            <w:pPr>
              <w:numPr>
                <w:ilvl w:val="0"/>
                <w:numId w:val="8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支持试卷导出。</w:t>
            </w:r>
          </w:p>
        </w:tc>
      </w:tr>
      <w:tr w14:paraId="2C55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9963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CC25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学生管理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92BCD">
            <w:pPr>
              <w:numPr>
                <w:ilvl w:val="0"/>
                <w:numId w:val="9"/>
              </w:numPr>
              <w:jc w:val="left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s-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支持对学生六大能力评估。</w:t>
            </w:r>
          </w:p>
          <w:p w14:paraId="1C77D202">
            <w:pPr>
              <w:numPr>
                <w:ilvl w:val="0"/>
                <w:numId w:val="9"/>
              </w:numPr>
              <w:jc w:val="left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学习记录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  <w:lang w:val="en-US" w:eastAsia="zh-CN"/>
              </w:rPr>
              <w:t>查看</w:t>
            </w:r>
          </w:p>
          <w:p w14:paraId="1AB7E211">
            <w:pPr>
              <w:numPr>
                <w:ilvl w:val="0"/>
                <w:numId w:val="9"/>
              </w:numPr>
              <w:jc w:val="left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val="en-US" w:eastAsia="zh-CN"/>
              </w:rPr>
              <w:t>支持考试记录查看</w:t>
            </w:r>
          </w:p>
        </w:tc>
      </w:tr>
      <w:tr w14:paraId="6D87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7405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10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A2C7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教学病例库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707414">
            <w:pPr>
              <w:numPr>
                <w:ilvl w:val="0"/>
                <w:numId w:val="10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支持病例添加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  <w:t>。</w:t>
            </w:r>
          </w:p>
          <w:p w14:paraId="060696FC">
            <w:pPr>
              <w:numPr>
                <w:ilvl w:val="0"/>
                <w:numId w:val="10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  <w:t>查看病例：支持SVS等格式在线阅片，放大缩小查看。</w:t>
            </w:r>
          </w:p>
          <w:p w14:paraId="7BD372E2">
            <w:pPr>
              <w:numPr>
                <w:ilvl w:val="0"/>
                <w:numId w:val="10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  <w:t>编辑：支持信息修改。</w:t>
            </w:r>
          </w:p>
          <w:p w14:paraId="12C2A37D">
            <w:pPr>
              <w:numPr>
                <w:ilvl w:val="0"/>
                <w:numId w:val="10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  <w:t>老师上传病例数量统计据。</w:t>
            </w:r>
          </w:p>
          <w:p w14:paraId="71C18C23">
            <w:pPr>
              <w:numPr>
                <w:ilvl w:val="0"/>
                <w:numId w:val="10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  <w:t>根据病理亚专科分类。</w:t>
            </w:r>
          </w:p>
          <w:p w14:paraId="62334E3D">
            <w:pPr>
              <w:numPr>
                <w:ilvl w:val="0"/>
                <w:numId w:val="10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  <w:t>支持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 w:bidi="ne-NP"/>
              </w:rPr>
              <w:t>题库增加试题时，简答题题目从教学病例库导入案例</w:t>
            </w:r>
          </w:p>
        </w:tc>
      </w:tr>
      <w:tr w14:paraId="2375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263C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11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42DE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教学活动评价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39AA6">
            <w:pPr>
              <w:numPr>
                <w:ilvl w:val="0"/>
                <w:numId w:val="11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管理员角色所有已评价记录查看，其他角色本人已评价记录查看。</w:t>
            </w:r>
          </w:p>
        </w:tc>
      </w:tr>
      <w:tr w14:paraId="7985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8B4C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12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2914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s-AR" w:bidi="ne-NP"/>
              </w:rPr>
              <w:t>用户管理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42D4">
            <w:pPr>
              <w:numPr>
                <w:ilvl w:val="0"/>
                <w:numId w:val="12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各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 w:bidi="ne-NP"/>
              </w:rPr>
              <w:t>人员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对应的课程上传记录查看。</w:t>
            </w:r>
          </w:p>
          <w:p w14:paraId="044C19E1">
            <w:pPr>
              <w:numPr>
                <w:ilvl w:val="0"/>
                <w:numId w:val="12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个人信息查看。</w:t>
            </w:r>
          </w:p>
          <w:p w14:paraId="23DA172D">
            <w:pPr>
              <w:numPr>
                <w:ilvl w:val="0"/>
                <w:numId w:val="12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密码修改。</w:t>
            </w:r>
          </w:p>
        </w:tc>
      </w:tr>
      <w:tr w14:paraId="1216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EAE5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</w:p>
          <w:p w14:paraId="7190B8EF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</w:p>
          <w:p w14:paraId="5DE5636B"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13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FE73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系统设置</w:t>
            </w:r>
          </w:p>
        </w:tc>
        <w:tc>
          <w:tcPr>
            <w:tcW w:w="6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3D8ADB">
            <w:pPr>
              <w:numPr>
                <w:ilvl w:val="0"/>
                <w:numId w:val="13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管理员对进行字典管理。</w:t>
            </w:r>
          </w:p>
          <w:p w14:paraId="29868408">
            <w:pPr>
              <w:numPr>
                <w:ilvl w:val="0"/>
                <w:numId w:val="13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管理员对用户进行管理。</w:t>
            </w:r>
          </w:p>
          <w:p w14:paraId="2C300BF0">
            <w:pPr>
              <w:numPr>
                <w:ilvl w:val="0"/>
                <w:numId w:val="13"/>
              </w:num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数据统计：支持管理员查看/导出本年度所有老师入科教育、题库、教学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 w:bidi="ne-NP"/>
              </w:rPr>
              <w:t>病例讨论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bidi="ne-NP"/>
              </w:rPr>
              <w:t>、教学病例库数量。</w:t>
            </w:r>
          </w:p>
        </w:tc>
      </w:tr>
    </w:tbl>
    <w:p w14:paraId="290D703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华文楷体" w:hAnsi="华文楷体" w:eastAsia="华文楷体" w:cs="华文楷体"/>
          <w:color w:val="000000"/>
          <w:sz w:val="21"/>
          <w:szCs w:val="21"/>
          <w:highlight w:val="yellow"/>
          <w:lang w:eastAsia="zh-CN"/>
        </w:rPr>
      </w:pPr>
    </w:p>
    <w:p w14:paraId="7D580B31">
      <w:pPr>
        <w:pStyle w:val="18"/>
        <w:numPr>
          <w:ilvl w:val="0"/>
          <w:numId w:val="1"/>
        </w:numPr>
        <w:spacing w:before="0" w:beforeAutospacing="0" w:after="0" w:afterAutospacing="0"/>
        <w:ind w:left="0" w:leftChars="0" w:firstLine="641" w:firstLineChars="200"/>
        <w:jc w:val="both"/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highlight w:val="none"/>
        </w:rPr>
        <w:t>硬件需求</w:t>
      </w:r>
    </w:p>
    <w:tbl>
      <w:tblPr>
        <w:tblStyle w:val="12"/>
        <w:tblpPr w:leftFromText="180" w:rightFromText="180" w:vertAnchor="text" w:horzAnchor="margin" w:tblpY="152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377"/>
        <w:gridCol w:w="2210"/>
      </w:tblGrid>
      <w:tr w14:paraId="7A0C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Align w:val="center"/>
          </w:tcPr>
          <w:p w14:paraId="6C5E586F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377" w:type="dxa"/>
            <w:vAlign w:val="center"/>
          </w:tcPr>
          <w:p w14:paraId="277B87CC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14:paraId="168CFB47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</w:rPr>
              <w:t>数量</w:t>
            </w:r>
          </w:p>
        </w:tc>
      </w:tr>
      <w:tr w14:paraId="3262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7" w:type="dxa"/>
            <w:vAlign w:val="center"/>
          </w:tcPr>
          <w:p w14:paraId="634808EB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1</w:t>
            </w:r>
          </w:p>
        </w:tc>
        <w:tc>
          <w:tcPr>
            <w:tcW w:w="5377" w:type="dxa"/>
            <w:vAlign w:val="center"/>
          </w:tcPr>
          <w:p w14:paraId="08EBB05A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软件系统</w:t>
            </w:r>
          </w:p>
        </w:tc>
        <w:tc>
          <w:tcPr>
            <w:tcW w:w="2210" w:type="dxa"/>
            <w:vAlign w:val="center"/>
          </w:tcPr>
          <w:p w14:paraId="6A8C666D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"/>
                <w:woUserID w:val="1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套</w:t>
            </w:r>
          </w:p>
        </w:tc>
      </w:tr>
      <w:tr w14:paraId="2E58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827" w:type="dxa"/>
            <w:vAlign w:val="center"/>
          </w:tcPr>
          <w:p w14:paraId="70023334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2</w:t>
            </w:r>
          </w:p>
        </w:tc>
        <w:tc>
          <w:tcPr>
            <w:tcW w:w="5377" w:type="dxa"/>
            <w:vAlign w:val="center"/>
          </w:tcPr>
          <w:p w14:paraId="25B62203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计算存储服务器</w:t>
            </w:r>
          </w:p>
          <w:p w14:paraId="4EFB154C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（CPU≥2.0Ghz 内存≥32G 硬盘≥12T以上）</w:t>
            </w:r>
          </w:p>
        </w:tc>
        <w:tc>
          <w:tcPr>
            <w:tcW w:w="2210" w:type="dxa"/>
            <w:vAlign w:val="center"/>
          </w:tcPr>
          <w:p w14:paraId="57F888DF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"/>
                <w:woUserID w:val="1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套</w:t>
            </w:r>
          </w:p>
        </w:tc>
      </w:tr>
      <w:tr w14:paraId="79D3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832" w:type="dxa"/>
            <w:vAlign w:val="center"/>
          </w:tcPr>
          <w:p w14:paraId="12941C6C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3</w:t>
            </w:r>
          </w:p>
        </w:tc>
        <w:tc>
          <w:tcPr>
            <w:tcW w:w="5377" w:type="dxa"/>
            <w:vAlign w:val="center"/>
          </w:tcPr>
          <w:p w14:paraId="39277E49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摄像头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分辨率≥1080P，自动对焦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10" w:type="dxa"/>
            <w:vAlign w:val="center"/>
          </w:tcPr>
          <w:p w14:paraId="0D3D268D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"/>
                <w:woUserID w:val="1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套</w:t>
            </w:r>
          </w:p>
        </w:tc>
      </w:tr>
    </w:tbl>
    <w:p w14:paraId="6869BFB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both"/>
        <w:textAlignment w:val="auto"/>
        <w:rPr>
          <w:rFonts w:hint="default" w:ascii="华文楷体" w:hAnsi="华文楷体" w:eastAsia="华文楷体" w:cs="华文楷体"/>
          <w:lang w:val="en-US" w:eastAsia="zh-CN"/>
        </w:rPr>
      </w:pPr>
    </w:p>
    <w:p w14:paraId="6766B644">
      <w:pPr>
        <w:rPr>
          <w:rFonts w:hint="eastAsia" w:ascii="华文楷体" w:hAnsi="华文楷体" w:eastAsia="华文楷体" w:cs="华文楷体"/>
          <w:lang w:eastAsia="zh-CN"/>
        </w:rPr>
      </w:pPr>
      <w:r>
        <w:rPr>
          <w:rFonts w:hint="eastAsia" w:ascii="华文楷体" w:hAnsi="华文楷体" w:eastAsia="华文楷体" w:cs="华文楷体"/>
          <w:lang w:eastAsia="zh-CN"/>
        </w:rPr>
        <w:br w:type="page"/>
      </w:r>
    </w:p>
    <w:tbl>
      <w:tblPr>
        <w:tblStyle w:val="12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4CDE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3225">
            <w:pPr>
              <w:spacing w:after="156" w:afterLines="5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 w:bidi="ar"/>
                <w14:ligatures w14:val="none"/>
              </w:rPr>
              <w:t>厂商基本信息表</w:t>
            </w:r>
          </w:p>
        </w:tc>
      </w:tr>
      <w:tr w14:paraId="54B4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7ADB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ED0A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文字描述</w:t>
            </w:r>
          </w:p>
          <w:p w14:paraId="1BFD96D6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1.全国情况：</w:t>
            </w:r>
          </w:p>
          <w:p w14:paraId="13984517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2.本公司情况：</w:t>
            </w:r>
          </w:p>
        </w:tc>
      </w:tr>
      <w:tr w14:paraId="081B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C32B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B2FD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文字描述</w:t>
            </w:r>
          </w:p>
        </w:tc>
      </w:tr>
      <w:tr w14:paraId="4A39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635A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CA59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文字描述</w:t>
            </w:r>
          </w:p>
        </w:tc>
      </w:tr>
      <w:tr w14:paraId="5AC2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8184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AF8A">
            <w:pPr>
              <w:spacing w:after="156" w:afterLines="5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注：“是”打√</w:t>
            </w:r>
          </w:p>
        </w:tc>
      </w:tr>
    </w:tbl>
    <w:p w14:paraId="031A0302">
      <w:pPr>
        <w:spacing w:after="0" w:line="360" w:lineRule="auto"/>
        <w:ind w:firstLine="0" w:firstLineChars="0"/>
        <w:jc w:val="right"/>
        <w:rPr>
          <w:rFonts w:ascii="仿宋_GB2312" w:hAnsi="仿宋_GB2312" w:eastAsia="仿宋_GB2312" w:cs="Times New Roman"/>
          <w:b/>
          <w:color w:val="000000"/>
          <w:kern w:val="2"/>
          <w:sz w:val="24"/>
          <w:szCs w:val="24"/>
          <w:lang w:eastAsia="zh-CN" w:bidi="ar-SA"/>
          <w14:ligatures w14:val="none"/>
        </w:rPr>
      </w:pPr>
    </w:p>
    <w:p w14:paraId="64D74D3A">
      <w:pPr>
        <w:spacing w:after="0" w:line="360" w:lineRule="auto"/>
        <w:ind w:firstLine="0" w:firstLineChars="0"/>
        <w:jc w:val="right"/>
        <w:rPr>
          <w:rFonts w:ascii="仿宋_GB2312" w:hAnsi="仿宋_GB2312" w:eastAsia="仿宋_GB2312" w:cs="Times New Roman"/>
          <w:b/>
          <w:color w:val="000000"/>
          <w:kern w:val="2"/>
          <w:sz w:val="24"/>
          <w:szCs w:val="24"/>
          <w:lang w:eastAsia="zh-CN" w:bidi="ar-SA"/>
          <w14:ligatures w14:val="none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2"/>
          <w:sz w:val="24"/>
          <w:szCs w:val="24"/>
          <w:lang w:eastAsia="zh-CN" w:bidi="ar-SA"/>
          <w14:ligatures w14:val="none"/>
        </w:rPr>
        <w:t>厂家（商）：盖公章</w:t>
      </w:r>
    </w:p>
    <w:p w14:paraId="38A91D62">
      <w:pPr>
        <w:spacing w:after="156" w:afterLines="50" w:line="240" w:lineRule="auto"/>
        <w:ind w:firstLine="0" w:firstLineChars="0"/>
        <w:jc w:val="right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2"/>
          <w:sz w:val="28"/>
          <w:szCs w:val="24"/>
          <w:lang w:eastAsia="zh-CN" w:bidi="ar-SA"/>
          <w14:ligatures w14:val="none"/>
        </w:rPr>
        <w:t>日期：   年   月   日</w:t>
      </w:r>
    </w:p>
    <w:p w14:paraId="483CC4D1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</w:pPr>
    </w:p>
    <w:p w14:paraId="20377C9E">
      <w:pPr>
        <w:spacing w:after="156" w:afterLines="5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</w:pPr>
      <w:r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  <w:br w:type="page"/>
      </w:r>
    </w:p>
    <w:p w14:paraId="2ACE9DEE">
      <w:pPr>
        <w:spacing w:after="0" w:line="240" w:lineRule="auto"/>
        <w:ind w:firstLine="0" w:firstLineChars="0"/>
        <w:jc w:val="center"/>
        <w:rPr>
          <w:rFonts w:ascii="方正小标宋简体" w:hAnsi="方正小标宋简体" w:eastAsia="方正小标宋_GBK" w:cs="Times New Roman"/>
          <w:color w:val="000000"/>
          <w:kern w:val="2"/>
          <w:sz w:val="36"/>
          <w:szCs w:val="36"/>
          <w:lang w:eastAsia="zh-CN" w:bidi="ar-SA"/>
          <w14:ligatures w14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  <w14:ligatures w14:val="none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  <w14:ligatures w14:val="none"/>
        </w:rPr>
        <w:t>住院医师规范化培训综合管理平台系统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  <w14:ligatures w14:val="none"/>
        </w:rPr>
        <w:t>采购项目报价表</w:t>
      </w:r>
    </w:p>
    <w:p w14:paraId="66C63EC6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</w:pPr>
    </w:p>
    <w:tbl>
      <w:tblPr>
        <w:tblStyle w:val="12"/>
        <w:tblW w:w="94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986"/>
        <w:gridCol w:w="3335"/>
        <w:gridCol w:w="1888"/>
        <w:gridCol w:w="852"/>
      </w:tblGrid>
      <w:tr w14:paraId="43A0E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A2D6C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项目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D6CA7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内容</w:t>
            </w:r>
          </w:p>
        </w:tc>
        <w:tc>
          <w:tcPr>
            <w:tcW w:w="3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F7375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用途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716FC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报价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33F40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备注</w:t>
            </w:r>
          </w:p>
        </w:tc>
      </w:tr>
      <w:tr w14:paraId="778E2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8560B">
            <w:pPr>
              <w:spacing w:after="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  <w14:ligatures w14:val="none"/>
              </w:rPr>
              <w:t>住院医师规范化培训综合管理平台系统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EA479">
            <w:pPr>
              <w:spacing w:after="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  <w:t>详见建设要求。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9F7E5">
            <w:pPr>
              <w:spacing w:after="0" w:line="240" w:lineRule="auto"/>
              <w:ind w:firstLine="0" w:firstLine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  <w14:ligatures w14:val="none"/>
              </w:rPr>
              <w:t>通过对病理切片、分子诊断等核心病理资料及医教研工作的管理与分析，实现病理诊断和科研教学任务决策支撑，提升医疗服务质量。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8DC81">
            <w:pPr>
              <w:spacing w:after="0" w:line="240" w:lineRule="auto"/>
              <w:ind w:firstLine="0" w:firstLineChars="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  <w14:ligatures w14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DBAFE">
            <w:pPr>
              <w:spacing w:after="0" w:line="240" w:lineRule="auto"/>
              <w:ind w:firstLine="0" w:firstLine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  <w14:ligatures w14:val="none"/>
              </w:rPr>
              <w:t>两个院区使用</w:t>
            </w:r>
          </w:p>
        </w:tc>
      </w:tr>
    </w:tbl>
    <w:p w14:paraId="5224E809">
      <w:pPr>
        <w:spacing w:after="0" w:line="240" w:lineRule="auto"/>
        <w:ind w:left="619" w:leftChars="295"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</w:pPr>
    </w:p>
    <w:p w14:paraId="2A9D4757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  <w14:ligatures w14:val="none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  <w14:ligatures w14:val="none"/>
        </w:rPr>
        <w:t>报价公司：</w:t>
      </w:r>
    </w:p>
    <w:p w14:paraId="6428C834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  <w14:ligatures w14:val="none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  <w14:ligatures w14:val="none"/>
        </w:rPr>
        <w:t>联系方式：</w:t>
      </w:r>
    </w:p>
    <w:p w14:paraId="5DCA7DD4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  <w14:ligatures w14:val="none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  <w14:ligatures w14:val="none"/>
        </w:rPr>
        <w:t>是否对需求内容完全响应：</w:t>
      </w:r>
    </w:p>
    <w:p w14:paraId="19CBE70C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  <w14:ligatures w14:val="none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  <w14:ligatures w14:val="none"/>
        </w:rPr>
        <w:t>日期：</w:t>
      </w:r>
    </w:p>
    <w:p w14:paraId="59A3AC70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  <w14:ligatures w14:val="none"/>
        </w:rPr>
      </w:pPr>
    </w:p>
    <w:p w14:paraId="01A891E6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  <w14:ligatures w14:val="none"/>
        </w:rPr>
      </w:pPr>
    </w:p>
    <w:p w14:paraId="6F9F641B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</w:pPr>
    </w:p>
    <w:p w14:paraId="1273D5C5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</w:pPr>
      <w:r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  <w:br w:type="page"/>
      </w:r>
    </w:p>
    <w:p w14:paraId="0B64D257">
      <w:pPr>
        <w:spacing w:after="0" w:line="240" w:lineRule="auto"/>
        <w:ind w:firstLine="0" w:firstLineChars="0"/>
        <w:jc w:val="center"/>
        <w:rPr>
          <w:rFonts w:ascii="方正小标宋简体" w:hAnsi="方正小标宋简体" w:eastAsia="方正小标宋_GBK" w:cs="Times New Roman"/>
          <w:color w:val="000000"/>
          <w:kern w:val="2"/>
          <w:sz w:val="36"/>
          <w:szCs w:val="36"/>
          <w:lang w:eastAsia="zh-CN" w:bidi="ar-SA"/>
          <w14:ligatures w14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  <w14:ligatures w14:val="none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  <w14:ligatures w14:val="none"/>
        </w:rPr>
        <w:t>住院医师规范化培训综合管理平台系统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  <w14:ligatures w14:val="none"/>
        </w:rPr>
        <w:t>采购项目建设方案</w:t>
      </w:r>
    </w:p>
    <w:p w14:paraId="08B5D1A6">
      <w:pPr>
        <w:spacing w:after="0" w:line="240" w:lineRule="auto"/>
        <w:ind w:firstLine="0" w:firstLineChars="0"/>
        <w:jc w:val="center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</w:pPr>
      <w:r>
        <w:rPr>
          <w:rFonts w:hint="eastAsia"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  <w:t>（模板）</w:t>
      </w:r>
    </w:p>
    <w:p w14:paraId="20C4745E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  <w14:ligatures w14:val="none"/>
        </w:rPr>
      </w:pPr>
    </w:p>
    <w:p w14:paraId="0B7A4384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需求xxx</w:t>
      </w:r>
    </w:p>
    <w:p w14:paraId="1FCB9243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1．需求xxx</w:t>
      </w:r>
    </w:p>
    <w:p w14:paraId="15C429CE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回复：（是/否完全响应）</w:t>
      </w:r>
    </w:p>
    <w:p w14:paraId="17FB6D29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具体方案：</w:t>
      </w:r>
    </w:p>
    <w:p w14:paraId="596F3402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2.需求xxx</w:t>
      </w:r>
    </w:p>
    <w:p w14:paraId="68D24366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回复：（是/否完全响应）</w:t>
      </w:r>
    </w:p>
    <w:p w14:paraId="3F8E5954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具体方案：</w:t>
      </w:r>
    </w:p>
    <w:p w14:paraId="59E8D570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3.需求xxx</w:t>
      </w:r>
    </w:p>
    <w:p w14:paraId="7B8385C6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回复：（是/否完全响应）</w:t>
      </w:r>
    </w:p>
    <w:p w14:paraId="4F711CA7">
      <w:pPr>
        <w:widowControl/>
        <w:adjustRightInd w:val="0"/>
        <w:snapToGrid w:val="0"/>
        <w:spacing w:after="156" w:afterLines="50" w:line="560" w:lineRule="exact"/>
        <w:ind w:left="720" w:firstLine="556" w:firstLineChars="0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具体方案：</w:t>
      </w:r>
    </w:p>
    <w:p w14:paraId="30CDD2AC">
      <w:pPr>
        <w:spacing w:after="0" w:line="360" w:lineRule="auto"/>
        <w:ind w:firstLine="560" w:firstLineChars="200"/>
        <w:jc w:val="both"/>
        <w:rPr>
          <w:rFonts w:hint="eastAsia" w:ascii="宋体" w:hAnsi="宋体" w:eastAsia="宋体" w:cs="Times New Roman"/>
          <w:sz w:val="24"/>
          <w:szCs w:val="24"/>
          <w14:ligatures w14:val="none"/>
        </w:rPr>
      </w:pPr>
      <w:r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  <w14:ligatures w14:val="none"/>
        </w:rPr>
        <w:t>二、其它</w:t>
      </w:r>
    </w:p>
    <w:p w14:paraId="610D7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14:ligatures w14:val="standardContextual"/>
        </w:rPr>
      </w:pPr>
    </w:p>
    <w:p w14:paraId="0E76812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both"/>
        <w:textAlignment w:val="auto"/>
        <w:rPr>
          <w:rFonts w:hint="eastAsia" w:ascii="华文楷体" w:hAnsi="华文楷体" w:eastAsia="华文楷体" w:cs="华文楷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C56C8D-A441-46EC-B0D7-731365FFBB9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3583BF5-F85E-4095-A9DF-FE21CAE646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C3B3CE-0CF8-437A-AD64-F5D58C4F1A4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CC68CAD4-4E83-45D2-8BD6-FB752897CA1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7D523B2-116E-4032-9F8C-FD66F380CC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B3E0E47-FBB5-4351-A0BA-31392F89A6DB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104A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8C1C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F8C1C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8E387"/>
    <w:multiLevelType w:val="singleLevel"/>
    <w:tmpl w:val="8FB8E3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423B4BF"/>
    <w:multiLevelType w:val="singleLevel"/>
    <w:tmpl w:val="9423B4B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D776E22"/>
    <w:multiLevelType w:val="singleLevel"/>
    <w:tmpl w:val="AD776E2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40E2481"/>
    <w:multiLevelType w:val="singleLevel"/>
    <w:tmpl w:val="B40E248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49B9C52"/>
    <w:multiLevelType w:val="singleLevel"/>
    <w:tmpl w:val="B49B9C5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BF6C18EA"/>
    <w:multiLevelType w:val="singleLevel"/>
    <w:tmpl w:val="BF6C18E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C483B87"/>
    <w:multiLevelType w:val="singleLevel"/>
    <w:tmpl w:val="DC483B87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EFDFA37"/>
    <w:multiLevelType w:val="singleLevel"/>
    <w:tmpl w:val="FEFDFA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5482DF6"/>
    <w:multiLevelType w:val="singleLevel"/>
    <w:tmpl w:val="05482DF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075C99D4"/>
    <w:multiLevelType w:val="singleLevel"/>
    <w:tmpl w:val="075C99D4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0C158A0D"/>
    <w:multiLevelType w:val="singleLevel"/>
    <w:tmpl w:val="0C158A0D"/>
    <w:lvl w:ilvl="0" w:tentative="0">
      <w:start w:val="1"/>
      <w:numFmt w:val="decimal"/>
      <w:suff w:val="space"/>
      <w:lvlText w:val="%1、"/>
      <w:lvlJc w:val="left"/>
    </w:lvl>
  </w:abstractNum>
  <w:abstractNum w:abstractNumId="11">
    <w:nsid w:val="2A68AE9E"/>
    <w:multiLevelType w:val="singleLevel"/>
    <w:tmpl w:val="2A68AE9E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61D2132A"/>
    <w:multiLevelType w:val="singleLevel"/>
    <w:tmpl w:val="61D213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4F7D41"/>
    <w:rsid w:val="001E7106"/>
    <w:rsid w:val="002505FA"/>
    <w:rsid w:val="0025315D"/>
    <w:rsid w:val="002616F4"/>
    <w:rsid w:val="00361DF5"/>
    <w:rsid w:val="00377EB3"/>
    <w:rsid w:val="004716C4"/>
    <w:rsid w:val="004E79B7"/>
    <w:rsid w:val="00775821"/>
    <w:rsid w:val="007B6100"/>
    <w:rsid w:val="007F1741"/>
    <w:rsid w:val="008E02B1"/>
    <w:rsid w:val="00993614"/>
    <w:rsid w:val="00A01E38"/>
    <w:rsid w:val="00BE442B"/>
    <w:rsid w:val="00BF7774"/>
    <w:rsid w:val="00C248C0"/>
    <w:rsid w:val="00D44D15"/>
    <w:rsid w:val="00E3205C"/>
    <w:rsid w:val="00E81249"/>
    <w:rsid w:val="00FC1DD7"/>
    <w:rsid w:val="04E60633"/>
    <w:rsid w:val="1BE74AE9"/>
    <w:rsid w:val="23AE1199"/>
    <w:rsid w:val="3E9210EB"/>
    <w:rsid w:val="51461F74"/>
    <w:rsid w:val="540F0FA8"/>
    <w:rsid w:val="571406EC"/>
    <w:rsid w:val="5D110AEF"/>
    <w:rsid w:val="607E55AF"/>
    <w:rsid w:val="71592FB3"/>
    <w:rsid w:val="724F7D41"/>
    <w:rsid w:val="72EF7CA5"/>
    <w:rsid w:val="76FE74D0"/>
    <w:rsid w:val="79D56FF4"/>
    <w:rsid w:val="7ABEED87"/>
    <w:rsid w:val="7CEC3713"/>
    <w:rsid w:val="991097C3"/>
    <w:rsid w:val="A7BA4623"/>
    <w:rsid w:val="B5FDC9DB"/>
    <w:rsid w:val="B97DD42C"/>
    <w:rsid w:val="EBF31523"/>
    <w:rsid w:val="FAA180AD"/>
    <w:rsid w:val="FFB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 w:cs="Times New Roman"/>
      <w:b/>
      <w:bCs/>
      <w:sz w:val="24"/>
      <w:szCs w:val="24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beforeAutospacing="1" w:afterAutospacing="1"/>
      <w:outlineLvl w:val="4"/>
    </w:pPr>
    <w:rPr>
      <w:rFonts w:hint="eastAsia" w:ascii="宋体" w:hAnsi="宋体" w:eastAsia="宋体" w:cs="Times New Roman"/>
      <w:b/>
      <w:bCs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1357</Words>
  <Characters>1378</Characters>
  <Lines>34</Lines>
  <Paragraphs>9</Paragraphs>
  <TotalTime>1</TotalTime>
  <ScaleCrop>false</ScaleCrop>
  <LinksUpToDate>false</LinksUpToDate>
  <CharactersWithSpaces>1382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2025-02-08T16:19:00Z</dcterms:created>
  <dc:creator> </dc:creator>
  <cp:lastModifiedBy>陈柯岚</cp:lastModifiedBy>
  <dcterms:modified xsi:type="dcterms:W3CDTF">2026-03-02T07:29:41Z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1C211C7C84FC4853A3855BC5F6ECF0E1_13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