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FDC18">
      <w:pPr>
        <w:widowControl/>
        <w:spacing w:line="560" w:lineRule="exact"/>
        <w:jc w:val="center"/>
        <w:rPr>
          <w:rFonts w:hint="eastAsia" w:ascii="宋体" w:hAnsi="宋体" w:cs="宋体"/>
          <w:b/>
          <w:bCs/>
          <w:color w:val="000000"/>
          <w:kern w:val="0"/>
          <w:sz w:val="44"/>
          <w:szCs w:val="44"/>
        </w:rPr>
      </w:pPr>
      <w:r>
        <w:rPr>
          <w:rFonts w:hint="eastAsia" w:ascii="宋体" w:hAnsi="宋体" w:cs="宋体"/>
          <w:b/>
          <w:bCs/>
          <w:color w:val="000000"/>
          <w:kern w:val="0"/>
          <w:sz w:val="44"/>
          <w:szCs w:val="44"/>
        </w:rPr>
        <w:t>康复质控云图软件平台构建服务需求</w:t>
      </w:r>
    </w:p>
    <w:p w14:paraId="5803AC71">
      <w:pPr>
        <w:spacing w:after="211" w:afterLines="50"/>
      </w:pPr>
    </w:p>
    <w:p w14:paraId="3B511244">
      <w:pPr>
        <w:spacing w:after="211" w:afterLines="50"/>
      </w:pPr>
      <w:r>
        <w:t>一、具体要求：</w:t>
      </w:r>
    </w:p>
    <w:tbl>
      <w:tblPr>
        <w:tblStyle w:val="9"/>
        <w:tblW w:w="4997" w:type="pct"/>
        <w:tblInd w:w="0" w:type="dxa"/>
        <w:tblLayout w:type="fixed"/>
        <w:tblCellMar>
          <w:top w:w="0" w:type="dxa"/>
          <w:left w:w="108" w:type="dxa"/>
          <w:bottom w:w="0" w:type="dxa"/>
          <w:right w:w="108" w:type="dxa"/>
        </w:tblCellMar>
      </w:tblPr>
      <w:tblGrid>
        <w:gridCol w:w="556"/>
        <w:gridCol w:w="1256"/>
        <w:gridCol w:w="966"/>
        <w:gridCol w:w="764"/>
        <w:gridCol w:w="4969"/>
      </w:tblGrid>
      <w:tr w14:paraId="03618D10">
        <w:trPr>
          <w:trHeight w:val="360" w:hRule="atLeast"/>
        </w:trPr>
        <w:tc>
          <w:tcPr>
            <w:tcW w:w="556" w:type="dxa"/>
            <w:tcBorders>
              <w:top w:val="single" w:color="auto" w:sz="4" w:space="0"/>
              <w:left w:val="single" w:color="auto" w:sz="4" w:space="0"/>
              <w:bottom w:val="single" w:color="auto" w:sz="4" w:space="0"/>
              <w:right w:val="single" w:color="auto" w:sz="4" w:space="0"/>
            </w:tcBorders>
            <w:vAlign w:val="center"/>
          </w:tcPr>
          <w:p w14:paraId="77B6DEB8">
            <w:pPr>
              <w:widowControl/>
              <w:spacing w:line="320" w:lineRule="exact"/>
              <w:jc w:val="center"/>
              <w:rPr>
                <w:color w:val="000000"/>
                <w:kern w:val="0"/>
                <w:sz w:val="22"/>
              </w:rPr>
            </w:pPr>
            <w:r>
              <w:rPr>
                <w:color w:val="000000"/>
                <w:kern w:val="0"/>
                <w:sz w:val="22"/>
              </w:rPr>
              <w:t>序号</w:t>
            </w:r>
          </w:p>
        </w:tc>
        <w:tc>
          <w:tcPr>
            <w:tcW w:w="1256" w:type="dxa"/>
            <w:tcBorders>
              <w:top w:val="single" w:color="auto" w:sz="4" w:space="0"/>
              <w:left w:val="single" w:color="auto" w:sz="4" w:space="0"/>
              <w:bottom w:val="single" w:color="auto" w:sz="4" w:space="0"/>
              <w:right w:val="single" w:color="auto" w:sz="4" w:space="0"/>
            </w:tcBorders>
            <w:vAlign w:val="center"/>
          </w:tcPr>
          <w:p w14:paraId="64CA887E">
            <w:pPr>
              <w:widowControl/>
              <w:spacing w:line="320" w:lineRule="exact"/>
              <w:jc w:val="center"/>
              <w:rPr>
                <w:color w:val="000000"/>
                <w:kern w:val="0"/>
                <w:sz w:val="22"/>
              </w:rPr>
            </w:pPr>
            <w:r>
              <w:rPr>
                <w:color w:val="000000"/>
                <w:kern w:val="0"/>
                <w:sz w:val="22"/>
              </w:rPr>
              <w:t>名称</w:t>
            </w:r>
          </w:p>
        </w:tc>
        <w:tc>
          <w:tcPr>
            <w:tcW w:w="966" w:type="dxa"/>
            <w:tcBorders>
              <w:top w:val="single" w:color="auto" w:sz="4" w:space="0"/>
              <w:left w:val="nil"/>
              <w:bottom w:val="single" w:color="auto" w:sz="4" w:space="0"/>
              <w:right w:val="single" w:color="auto" w:sz="4" w:space="0"/>
            </w:tcBorders>
            <w:vAlign w:val="center"/>
          </w:tcPr>
          <w:p w14:paraId="59D367F8">
            <w:pPr>
              <w:widowControl/>
              <w:spacing w:line="320" w:lineRule="exact"/>
              <w:jc w:val="center"/>
              <w:rPr>
                <w:color w:val="000000"/>
                <w:kern w:val="0"/>
                <w:sz w:val="22"/>
              </w:rPr>
            </w:pPr>
            <w:r>
              <w:rPr>
                <w:rFonts w:hint="eastAsia"/>
                <w:color w:val="000000"/>
                <w:kern w:val="0"/>
                <w:sz w:val="22"/>
              </w:rPr>
              <w:t>规格</w:t>
            </w:r>
          </w:p>
        </w:tc>
        <w:tc>
          <w:tcPr>
            <w:tcW w:w="764" w:type="dxa"/>
            <w:tcBorders>
              <w:top w:val="single" w:color="auto" w:sz="4" w:space="0"/>
              <w:left w:val="nil"/>
              <w:bottom w:val="single" w:color="auto" w:sz="4" w:space="0"/>
              <w:right w:val="single" w:color="auto" w:sz="4" w:space="0"/>
            </w:tcBorders>
            <w:vAlign w:val="center"/>
          </w:tcPr>
          <w:p w14:paraId="13BBBFB4">
            <w:pPr>
              <w:widowControl/>
              <w:spacing w:line="320" w:lineRule="exact"/>
              <w:jc w:val="center"/>
              <w:rPr>
                <w:color w:val="000000"/>
                <w:kern w:val="0"/>
                <w:sz w:val="22"/>
              </w:rPr>
            </w:pPr>
            <w:r>
              <w:rPr>
                <w:rFonts w:hint="eastAsia"/>
                <w:color w:val="000000"/>
                <w:kern w:val="0"/>
                <w:sz w:val="22"/>
              </w:rPr>
              <w:t>预估数量</w:t>
            </w:r>
          </w:p>
        </w:tc>
        <w:tc>
          <w:tcPr>
            <w:tcW w:w="4969" w:type="dxa"/>
            <w:tcBorders>
              <w:top w:val="single" w:color="auto" w:sz="4" w:space="0"/>
              <w:left w:val="nil"/>
              <w:bottom w:val="single" w:color="auto" w:sz="4" w:space="0"/>
              <w:right w:val="single" w:color="auto" w:sz="4" w:space="0"/>
            </w:tcBorders>
            <w:vAlign w:val="center"/>
          </w:tcPr>
          <w:p w14:paraId="7787A1FC">
            <w:pPr>
              <w:widowControl/>
              <w:spacing w:line="320" w:lineRule="exact"/>
              <w:jc w:val="center"/>
              <w:rPr>
                <w:color w:val="000000"/>
                <w:kern w:val="0"/>
                <w:sz w:val="22"/>
              </w:rPr>
            </w:pPr>
            <w:r>
              <w:rPr>
                <w:rFonts w:hint="eastAsia"/>
                <w:color w:val="000000"/>
                <w:kern w:val="0"/>
                <w:sz w:val="22"/>
              </w:rPr>
              <w:t>参数</w:t>
            </w:r>
          </w:p>
        </w:tc>
      </w:tr>
      <w:tr w14:paraId="323A059B">
        <w:tblPrEx>
          <w:tblCellMar>
            <w:top w:w="0" w:type="dxa"/>
            <w:left w:w="108" w:type="dxa"/>
            <w:bottom w:w="0" w:type="dxa"/>
            <w:right w:w="108" w:type="dxa"/>
          </w:tblCellMar>
        </w:tblPrEx>
        <w:trPr>
          <w:trHeight w:val="900" w:hRule="atLeast"/>
        </w:trPr>
        <w:tc>
          <w:tcPr>
            <w:tcW w:w="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FB099">
            <w:pPr>
              <w:widowControl/>
              <w:spacing w:line="240" w:lineRule="exact"/>
              <w:jc w:val="center"/>
              <w:textAlignment w:val="center"/>
              <w:rPr>
                <w:rFonts w:hint="eastAsia" w:ascii="方正仿宋_GB2312" w:hAnsi="方正仿宋_GB2312" w:eastAsia="方正仿宋_GB2312" w:cs="方正仿宋_GB2312"/>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DD8A1">
            <w:pPr>
              <w:tabs>
                <w:tab w:val="left" w:leader="middleDot" w:pos="7980"/>
              </w:tabs>
              <w:spacing w:line="300" w:lineRule="exact"/>
              <w:jc w:val="center"/>
              <w:rPr>
                <w:rFonts w:hint="eastAsia" w:ascii="方正仿宋_GB2312" w:hAnsi="方正仿宋_GB2312" w:eastAsia="方正仿宋_GB2312" w:cs="方正仿宋_GB2312"/>
                <w:color w:val="000000"/>
                <w:sz w:val="22"/>
              </w:rPr>
            </w:pPr>
            <w:r>
              <w:rPr>
                <w:rFonts w:hint="eastAsia" w:ascii="微软雅黑" w:hAnsi="微软雅黑" w:eastAsia="微软雅黑" w:cs="微软雅黑"/>
                <w:bCs/>
                <w:kern w:val="0"/>
                <w:sz w:val="16"/>
                <w:szCs w:val="16"/>
              </w:rPr>
              <w:t>康复质控云图软件平台构建服务</w:t>
            </w:r>
          </w:p>
        </w:tc>
        <w:tc>
          <w:tcPr>
            <w:tcW w:w="9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9ACE2">
            <w:pPr>
              <w:tabs>
                <w:tab w:val="left" w:leader="middleDot" w:pos="7980"/>
              </w:tabs>
              <w:spacing w:line="300" w:lineRule="exact"/>
              <w:jc w:val="center"/>
              <w:rPr>
                <w:rFonts w:hint="eastAsia" w:ascii="方正仿宋_GB2312" w:hAnsi="方正仿宋_GB2312" w:eastAsia="方正仿宋_GB2312" w:cs="方正仿宋_GB2312"/>
                <w:color w:val="000000"/>
                <w:sz w:val="22"/>
              </w:rPr>
            </w:pPr>
            <w:r>
              <w:rPr>
                <w:rFonts w:hint="eastAsia" w:ascii="方正仿宋_GB2312" w:hAnsi="方正仿宋_GB2312" w:eastAsia="方正仿宋_GB2312" w:cs="方正仿宋_GB2312"/>
                <w:color w:val="000000"/>
                <w:sz w:val="22"/>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CDAEC">
            <w:pPr>
              <w:widowControl/>
              <w:jc w:val="center"/>
              <w:textAlignment w:val="center"/>
              <w:rPr>
                <w:rFonts w:hint="eastAsia" w:ascii="微软雅黑" w:hAnsi="微软雅黑" w:eastAsia="微软雅黑" w:cs="微软雅黑"/>
                <w:bCs/>
                <w:kern w:val="0"/>
                <w:sz w:val="16"/>
                <w:szCs w:val="16"/>
              </w:rPr>
            </w:pPr>
            <w:r>
              <w:rPr>
                <w:rFonts w:hint="eastAsia" w:ascii="方正仿宋_GBK" w:hAnsi="方正仿宋_GBK" w:eastAsia="方正仿宋_GBK" w:cs="方正仿宋_GBK"/>
                <w:color w:val="000000"/>
                <w:kern w:val="0"/>
                <w:sz w:val="24"/>
                <w:szCs w:val="24"/>
                <w:lang w:bidi="ar"/>
              </w:rPr>
              <w:t>１</w:t>
            </w:r>
          </w:p>
        </w:tc>
        <w:tc>
          <w:tcPr>
            <w:tcW w:w="4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F0D47">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一、质控信息统计分析软件 - 数据填报端</w:t>
            </w:r>
          </w:p>
          <w:p w14:paraId="6EF7B897">
            <w:pPr>
              <w:tabs>
                <w:tab w:val="left" w:leader="middleDot" w:pos="7980"/>
              </w:tabs>
              <w:spacing w:line="300" w:lineRule="exact"/>
              <w:jc w:val="left"/>
              <w:rPr>
                <w:rFonts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　　面向各医院质控数据填报人员，提供便捷的质控数据与问卷在线填报、提交及历史记录查询入口，确保质控信息收集的及时性与准确性。</w:t>
            </w:r>
          </w:p>
          <w:p w14:paraId="30716DD2">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1. 具备在线填写、提交、删除重复问卷、评估问卷有效性等功能。</w:t>
            </w:r>
          </w:p>
          <w:p w14:paraId="0A8ED999">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2. 信息规范填报：支持填报人员根据预设的标准化模板进行填写，确保数据格式规范统一。</w:t>
            </w:r>
          </w:p>
          <w:p w14:paraId="253E80ED">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3. 填报进度与历史查看：填报人员可实时查看本人待填报、已提交的问卷列表及历史提交记录，支持对已提交数据进行查看（视权限而定）。</w:t>
            </w:r>
          </w:p>
          <w:p w14:paraId="69E4BC5E">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4. 具备接收来自管理端或分析端的质控数据补充收集或修订通知，并能够进行快速响应与再次提交。</w:t>
            </w:r>
          </w:p>
          <w:p w14:paraId="071B4BCD">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5. 自动校验与提醒：在填报过程中，系统对关键字段、逻辑关系进行自动校验，对漏填、错填项进行实时提示，确保数据完整性。</w:t>
            </w:r>
          </w:p>
          <w:p w14:paraId="3D37AF4B">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6. 附件上传支持：支持在填报过程中上传相关的证明文件、现场照片、文档资料等作为附件，使问题描述或佐证材料更充分。</w:t>
            </w:r>
          </w:p>
          <w:p w14:paraId="0F64961C">
            <w:pPr>
              <w:tabs>
                <w:tab w:val="left" w:leader="middleDot" w:pos="7980"/>
              </w:tabs>
              <w:spacing w:line="300" w:lineRule="exact"/>
              <w:jc w:val="left"/>
              <w:rPr>
                <w:rFonts w:ascii="微软雅黑" w:hAnsi="微软雅黑" w:eastAsia="微软雅黑" w:cs="微软雅黑"/>
                <w:bCs/>
                <w:kern w:val="0"/>
                <w:sz w:val="16"/>
                <w:szCs w:val="16"/>
              </w:rPr>
            </w:pPr>
          </w:p>
          <w:p w14:paraId="20DF6F7D">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二、质控信息统计分析软件 - 质控中心端</w:t>
            </w:r>
          </w:p>
          <w:p w14:paraId="381AB2EF">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　　为质控中心提供全面的质控数据深度分析、多维度统计、可视化图表生成及报告输出工具。平台应内置丰富的统计分析模型与图表类型，支持对问卷结果进行自动汇总分析。</w:t>
            </w:r>
          </w:p>
          <w:p w14:paraId="734F5DE0">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1. 数据汇总与看板：具备问卷的自动汇总功能，并可通过综合数据看板直观展示核心质控指标（如早期介入率、医师/治疗师/护师人数、指标改善率等）的实时状态与趋势。</w:t>
            </w:r>
          </w:p>
          <w:p w14:paraId="46D15F86">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2. 多维统计分析：支持按医院、时间周期（月/季/年）、不同质控指标等多个维度对质控数据进行交叉筛选、统计与分析。</w:t>
            </w:r>
          </w:p>
          <w:p w14:paraId="694A68FA">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3. 可视化图表生成：系统自动根据分析需求，生成柱状图、折线图、饼图、散点图、雷达图、柏拉图、控制图等多种类型的统计图表，图表需支持自定义样式与交互式查看（如钻取、筛选）。</w:t>
            </w:r>
          </w:p>
          <w:p w14:paraId="66AA1BBB">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4. 问卷专项分析：针对收集的质控问卷（如满意度调查、风险评估问卷），具备自动计算各题项得分率、满意度指数、风险等级分布，并生成问卷分析摘要与详细报告。</w:t>
            </w:r>
          </w:p>
          <w:p w14:paraId="26F6B7C4">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5. 趋势分析与预警：能够对关键质控指标进行长期趋势分析，并支持设定阈值。当指标超出阈值或出现异常波动时，系统可自动触发预警提示给相关管理人员。</w:t>
            </w:r>
          </w:p>
          <w:p w14:paraId="61F4A415">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6. 对比分析功能：支持不同医院间、不同时间段之间的质控数据对比分析，直观展示差异与进步情况。</w:t>
            </w:r>
          </w:p>
          <w:p w14:paraId="01479738">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7. 根本原因分析辅助：提供如鱼骨图、5Why分析等工具模板，辅助用户对统计发现的突出问题进行结构化原因分析。</w:t>
            </w:r>
          </w:p>
          <w:p w14:paraId="3280EDCD">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8. 报告自动生成与导出：可根据预设模板或用户自定义选择，将统计分析结果与图表自动整合生成Word、PDF或PPT格式的质控分析报告，支持一键导出与分享。</w:t>
            </w:r>
          </w:p>
          <w:p w14:paraId="172F9CA1">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9. 数据钻取与溯源：支持从汇总图表钻取至明细数据，查看具体的问题记录、填报详情及关联附件，实现数据溯源。</w:t>
            </w:r>
          </w:p>
          <w:p w14:paraId="18989296">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10. 整改跟踪关联：能够将分析发现的问题关联至整改任务，并跟踪整改进度与效果，形成“分析-问题-整改-反馈”的闭环管理视图。</w:t>
            </w:r>
          </w:p>
          <w:p w14:paraId="303C4844">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11. 自定义查询与报表：允许有权限的用户创建和保存常用的数据查询条件与统计报表模板，便于日常快速调取分析。</w:t>
            </w:r>
          </w:p>
          <w:p w14:paraId="13AD2AA4">
            <w:pPr>
              <w:tabs>
                <w:tab w:val="left" w:leader="middleDot" w:pos="7980"/>
              </w:tabs>
              <w:spacing w:line="300" w:lineRule="exact"/>
              <w:jc w:val="left"/>
              <w:rPr>
                <w:rFonts w:ascii="微软雅黑" w:hAnsi="微软雅黑" w:eastAsia="微软雅黑" w:cs="微软雅黑"/>
                <w:bCs/>
                <w:kern w:val="0"/>
                <w:sz w:val="16"/>
                <w:szCs w:val="16"/>
              </w:rPr>
            </w:pPr>
          </w:p>
          <w:p w14:paraId="75498DCF">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三、质控信息统计分析软件 - 系统管理端</w:t>
            </w:r>
          </w:p>
          <w:p w14:paraId="18A9C2F7">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　　负责系统的后台配置、基础数据管理、用户权限控制、问卷表单管理、数据安全及系统运维保障，确保统计分析工作有序开展。</w:t>
            </w:r>
          </w:p>
          <w:p w14:paraId="43A92DAF">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1. 后台管理端采用Web形式进行呈现，提供集中化、模块化的管理界面，支持系统参数灵活配置。</w:t>
            </w:r>
          </w:p>
          <w:p w14:paraId="4C4A7601">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2. 用户与权限管理：具备对系统用户（如填报员、分析员、管理员等）的信息维护、角色定义、功能模块权限及数据访问范围（如按科医院）的精细化分配与管理功能。</w:t>
            </w:r>
          </w:p>
          <w:p w14:paraId="4698E01B">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 xml:space="preserve">3. 质控项目与表单管理：具备对质控项目、检查标准、评估问卷、上报表单等进行创建、编辑、版本管理、发布与停用的全生命周期管理功能。支持拖拽式或模板化表单设计。 </w:t>
            </w:r>
          </w:p>
          <w:p w14:paraId="71DA439F">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4. 统计分析模型与图表模板管理：支持管理员对预设的统计计算方法、分析模型、图表展示模板进行管理、配置或扩展。</w:t>
            </w:r>
          </w:p>
          <w:p w14:paraId="5D612678">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5. 数据管理与备份：具备对所有质控原始数据、统计分析结果数据进行集中存储、分类管理、定期备份的功能，确保数据安全。支持数据归档策略设置。</w:t>
            </w:r>
          </w:p>
          <w:p w14:paraId="730D9F3C">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6 日志与审计功能：系统详细记录用户关键操作日志、数据访问与修改记录，满足审计要求。</w:t>
            </w:r>
          </w:p>
          <w:p w14:paraId="6CA2B23C">
            <w:pPr>
              <w:tabs>
                <w:tab w:val="left" w:leader="middleDot" w:pos="7980"/>
              </w:tabs>
              <w:spacing w:line="300" w:lineRule="exact"/>
              <w:jc w:val="left"/>
              <w:rPr>
                <w:rFonts w:hint="eastAsia" w:ascii="微软雅黑" w:hAnsi="微软雅黑" w:eastAsia="微软雅黑" w:cs="微软雅黑"/>
                <w:bCs/>
                <w:kern w:val="0"/>
                <w:sz w:val="16"/>
                <w:szCs w:val="16"/>
              </w:rPr>
            </w:pPr>
            <w:r>
              <w:rPr>
                <w:rFonts w:hint="eastAsia" w:ascii="微软雅黑" w:hAnsi="微软雅黑" w:eastAsia="微软雅黑" w:cs="微软雅黑"/>
                <w:bCs/>
                <w:kern w:val="0"/>
                <w:sz w:val="16"/>
                <w:szCs w:val="16"/>
              </w:rPr>
              <w:t>7. 系统参数配置：具备对系统运行参数、预警规则、报告模板存储路径、接口配置（如需与其他系统交换数据）等进行统一设置和维护的功能。</w:t>
            </w:r>
          </w:p>
          <w:p w14:paraId="3DC3F28A">
            <w:pPr>
              <w:tabs>
                <w:tab w:val="left" w:leader="middleDot" w:pos="7980"/>
              </w:tabs>
              <w:spacing w:line="300" w:lineRule="exact"/>
              <w:jc w:val="left"/>
              <w:rPr>
                <w:rFonts w:hint="eastAsia" w:ascii="微软雅黑" w:hAnsi="微软雅黑" w:eastAsia="微软雅黑" w:cs="微软雅黑"/>
                <w:b/>
                <w:kern w:val="0"/>
                <w:sz w:val="16"/>
                <w:szCs w:val="16"/>
              </w:rPr>
            </w:pPr>
            <w:r>
              <w:rPr>
                <w:rFonts w:hint="eastAsia" w:ascii="微软雅黑" w:hAnsi="微软雅黑" w:eastAsia="微软雅黑" w:cs="微软雅黑"/>
                <w:bCs/>
                <w:kern w:val="0"/>
                <w:sz w:val="16"/>
                <w:szCs w:val="16"/>
              </w:rPr>
              <w:t>8. 看板与门户定制：支持管理员根据医院或不同管理角色的需求，定制个性化的数据分析门户首页或监控看板布局与内容。</w:t>
            </w:r>
          </w:p>
        </w:tc>
      </w:tr>
    </w:tbl>
    <w:p w14:paraId="5F6B6716">
      <w:pPr>
        <w:spacing w:after="211" w:afterLines="50"/>
        <w:rPr>
          <w:b/>
          <w:bCs/>
        </w:rPr>
      </w:pPr>
    </w:p>
    <w:p w14:paraId="6E677089">
      <w:pPr>
        <w:spacing w:after="211" w:afterLines="50"/>
      </w:pPr>
      <w:r>
        <w:rPr>
          <w:rFonts w:hint="eastAsia"/>
        </w:rPr>
        <w:t>二、</w:t>
      </w:r>
      <w:r>
        <w:rPr>
          <w:rFonts w:hint="eastAsia"/>
          <w:lang w:val="en-US" w:eastAsia="zh-CN"/>
        </w:rPr>
        <w:t>运行资源</w:t>
      </w:r>
      <w:r>
        <w:rPr>
          <w:rFonts w:hint="eastAsia" w:eastAsiaTheme="minorEastAsia"/>
        </w:rPr>
        <w:t>需求</w:t>
      </w:r>
    </w:p>
    <w:p w14:paraId="4B68C7D5">
      <w:pPr>
        <w:pStyle w:val="24"/>
        <w:spacing w:before="0" w:beforeAutospacing="0" w:after="0" w:afterAutospacing="0" w:line="40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1.供应商需根据本项目的系统架构及业务使用需求，统一提供可满足不少于</w:t>
      </w:r>
      <w:r>
        <w:rPr>
          <w:rFonts w:hint="eastAsia" w:asciiTheme="minorEastAsia" w:hAnsiTheme="minorEastAsia" w:eastAsiaTheme="minorEastAsia" w:cstheme="minorEastAsia"/>
          <w:lang w:eastAsia="zh-CN"/>
        </w:rPr>
        <w:t>三年</w:t>
      </w:r>
      <w:r>
        <w:rPr>
          <w:rFonts w:hint="eastAsia" w:asciiTheme="minorEastAsia" w:hAnsiTheme="minorEastAsia" w:eastAsiaTheme="minorEastAsia" w:cstheme="minorEastAsia"/>
        </w:rPr>
        <w:t>运行周期的计算资源、存储资源、数据库服务及相应操作系统环境，并负责全部安装部署、配置优化及后续维护支持；所提供的资源应保证系统稳定运行、数据安全、容量可扩展及并发访问需求，涵盖在线存储、日志、备份等必要空间，所有与计算资源、存储资源、数据库环境及运行环境相关的费用均应包含在本次项目的整体报价中，不得另行收费。</w:t>
      </w:r>
    </w:p>
    <w:p w14:paraId="285768B6">
      <w:pPr>
        <w:pStyle w:val="24"/>
        <w:spacing w:before="0" w:beforeAutospacing="0" w:after="0" w:afterAutospacing="0" w:line="400" w:lineRule="exact"/>
        <w:ind w:firstLine="420" w:firstLineChars="200"/>
        <w:rPr>
          <w:rFonts w:hint="eastAsia" w:asciiTheme="minorEastAsia" w:hAnsiTheme="minorEastAsia" w:eastAsiaTheme="minorEastAsia" w:cstheme="minorEastAsia"/>
        </w:rPr>
      </w:pPr>
    </w:p>
    <w:p w14:paraId="034DB10F">
      <w:pPr>
        <w:spacing w:after="211" w:afterLines="50"/>
        <w:ind w:firstLine="420" w:firstLineChars="200"/>
        <w:rPr>
          <w:rFonts w:hint="eastAsia" w:eastAsiaTheme="minorEastAsia"/>
        </w:rPr>
      </w:pPr>
      <w:r>
        <w:rPr>
          <w:rFonts w:hint="eastAsia" w:eastAsiaTheme="minorEastAsia"/>
          <w:lang w:val="en-US" w:eastAsia="zh-CN"/>
        </w:rPr>
        <w:t>2</w:t>
      </w:r>
      <w:r>
        <w:rPr>
          <w:rFonts w:hint="eastAsia" w:eastAsiaTheme="minorEastAsia"/>
        </w:rPr>
        <w:t>.云服务资源</w:t>
      </w:r>
    </w:p>
    <w:p w14:paraId="29F90DC0">
      <w:pPr>
        <w:spacing w:after="211" w:afterLines="50"/>
        <w:ind w:firstLine="420" w:firstLineChars="0"/>
        <w:rPr>
          <w:rFonts w:hint="eastAsia" w:eastAsiaTheme="minorEastAsia"/>
        </w:rPr>
      </w:pPr>
      <w:r>
        <w:rPr>
          <w:rFonts w:hint="eastAsia" w:eastAsiaTheme="minorEastAsia"/>
        </w:rPr>
        <w:t>本项目实施需使用云服务资源，相关要求如下：</w:t>
      </w:r>
    </w:p>
    <w:p w14:paraId="4507C82D">
      <w:pPr>
        <w:spacing w:after="211" w:afterLines="50"/>
        <w:ind w:firstLine="420" w:firstLineChars="0"/>
        <w:rPr>
          <w:rFonts w:hint="eastAsia" w:eastAsiaTheme="minorEastAsia"/>
        </w:rPr>
      </w:pPr>
      <w:r>
        <w:rPr>
          <w:rFonts w:hint="eastAsia" w:eastAsiaTheme="minorEastAsia"/>
        </w:rPr>
        <w:t>（1）等保合规：云服务的使用须满足医院等级保护（以下简称"等保"）相关要求，确保符合国家网络安全等级保护制度规定。</w:t>
      </w:r>
    </w:p>
    <w:p w14:paraId="0ECA00A8">
      <w:pPr>
        <w:spacing w:after="211" w:afterLines="50"/>
        <w:ind w:firstLine="420" w:firstLineChars="0"/>
        <w:rPr>
          <w:rFonts w:hint="eastAsia" w:eastAsiaTheme="minorEastAsia"/>
        </w:rPr>
      </w:pPr>
      <w:r>
        <w:rPr>
          <w:rFonts w:hint="eastAsia" w:eastAsiaTheme="minorEastAsia"/>
        </w:rPr>
        <w:t>（2）使用权期限：供应商应提供相应云服务资源使用权，期限至少覆盖至本项目运行维护期结束。</w:t>
      </w:r>
    </w:p>
    <w:p w14:paraId="4DC3DD5F">
      <w:pPr>
        <w:spacing w:after="211" w:afterLines="50"/>
        <w:ind w:firstLine="420" w:firstLineChars="0"/>
        <w:rPr>
          <w:rFonts w:hint="eastAsia" w:eastAsiaTheme="minorEastAsia"/>
        </w:rPr>
      </w:pPr>
      <w:r>
        <w:rPr>
          <w:rFonts w:hint="eastAsia" w:eastAsiaTheme="minorEastAsia"/>
        </w:rPr>
        <w:t>（3）账户独立性：云服务资源须以医院名义独立开设账户及专属资源区域，确保医院对资源的完全自主管控。</w:t>
      </w:r>
    </w:p>
    <w:p w14:paraId="6564BB3B">
      <w:pPr>
        <w:spacing w:after="211" w:afterLines="50"/>
        <w:ind w:firstLine="420" w:firstLineChars="0"/>
        <w:rPr>
          <w:rFonts w:hint="eastAsia" w:asciiTheme="minorEastAsia" w:hAnsiTheme="minorEastAsia" w:eastAsiaTheme="minorEastAsia" w:cstheme="minorEastAsia"/>
        </w:rPr>
      </w:pPr>
      <w:r>
        <w:rPr>
          <w:rFonts w:hint="eastAsia" w:eastAsiaTheme="minorEastAsia"/>
        </w:rPr>
        <w:t>（4）费用及服务保障：云服务的使用及相关费用应包含在投标报价中，不得另行收费；供应商须保证服务可用性，并确保数据安全符合国家网络安全要求。</w:t>
      </w:r>
    </w:p>
    <w:p w14:paraId="03D07F89">
      <w:pPr>
        <w:pStyle w:val="2"/>
        <w:numPr>
          <w:ilvl w:val="0"/>
          <w:numId w:val="1"/>
        </w:numPr>
        <w:spacing w:line="240" w:lineRule="auto"/>
        <w:rPr>
          <w:rFonts w:hint="eastAsia" w:asciiTheme="minorEastAsia" w:hAnsiTheme="minorEastAsia" w:eastAsiaTheme="minorEastAsia" w:cstheme="minorEastAsia"/>
          <w:b w:val="0"/>
          <w:bCs w:val="0"/>
          <w:kern w:val="2"/>
          <w:sz w:val="21"/>
          <w:szCs w:val="22"/>
          <w:lang w:val="en-US" w:eastAsia="zh-CN" w:bidi="ar-SA"/>
        </w:rPr>
      </w:pPr>
      <w:r>
        <w:rPr>
          <w:rFonts w:hint="eastAsia" w:asciiTheme="minorEastAsia" w:hAnsiTheme="minorEastAsia" w:eastAsiaTheme="minorEastAsia" w:cstheme="minorEastAsia"/>
          <w:b w:val="0"/>
          <w:bCs w:val="0"/>
          <w:kern w:val="2"/>
          <w:sz w:val="21"/>
          <w:szCs w:val="22"/>
          <w:lang w:val="en-US" w:eastAsia="zh-CN" w:bidi="ar-SA"/>
        </w:rPr>
        <w:t>信创要求与安全</w:t>
      </w:r>
    </w:p>
    <w:p w14:paraId="3948C6A9">
      <w:pPr>
        <w:rPr>
          <w:rFonts w:hint="eastAsia" w:asciiTheme="minorEastAsia" w:hAnsiTheme="minorEastAsia" w:eastAsiaTheme="minorEastAsia" w:cstheme="minorEastAsia"/>
          <w:b w:val="0"/>
          <w:bCs w:val="0"/>
          <w:kern w:val="2"/>
          <w:sz w:val="21"/>
          <w:szCs w:val="22"/>
          <w:lang w:val="en-US" w:eastAsia="zh-CN" w:bidi="ar-SA"/>
        </w:rPr>
      </w:pPr>
      <w:r>
        <w:rPr>
          <w:rFonts w:hint="eastAsia" w:asciiTheme="minorEastAsia" w:hAnsiTheme="minorEastAsia" w:eastAsiaTheme="minorEastAsia" w:cstheme="minorEastAsia"/>
          <w:b w:val="0"/>
          <w:bCs w:val="0"/>
          <w:kern w:val="2"/>
          <w:sz w:val="21"/>
          <w:szCs w:val="22"/>
          <w:lang w:val="en-US" w:eastAsia="zh-CN" w:bidi="ar-SA"/>
        </w:rPr>
        <w:t>1..CPU、操作系统应在“中国信息安全测评中心”或“国家保密科技测评中心”发布的《安全可靠测评结果公告》名单内，或者已取得由国家认定检测机构出具的、包含 CNAS 或 CMA 资质的信创产品检测合格报告。</w:t>
      </w:r>
    </w:p>
    <w:p w14:paraId="461952CB">
      <w:pPr>
        <w:pStyle w:val="24"/>
        <w:spacing w:before="0" w:beforeAutospacing="0" w:after="0" w:afterAutospacing="0" w:line="400" w:lineRule="exact"/>
        <w:ind w:firstLine="420" w:firstLineChars="200"/>
        <w:rPr>
          <w:rFonts w:hint="eastAsia" w:asciiTheme="minorEastAsia" w:hAnsiTheme="minorEastAsia" w:eastAsiaTheme="minorEastAsia" w:cstheme="minorEastAsia"/>
        </w:rPr>
      </w:pPr>
    </w:p>
    <w:p w14:paraId="40B94655">
      <w:pPr>
        <w:numPr>
          <w:ilvl w:val="0"/>
          <w:numId w:val="0"/>
        </w:numPr>
        <w:spacing w:after="211" w:afterLines="5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为确保系统数据安全与稳定性，系统上线前须通过医院组织的安全评估，评估</w:t>
      </w:r>
      <w:r>
        <w:rPr>
          <w:rFonts w:hint="eastAsia" w:asciiTheme="minorEastAsia" w:hAnsiTheme="minorEastAsia" w:eastAsiaTheme="minorEastAsia" w:cstheme="minorEastAsia"/>
          <w:lang w:val="en-US" w:eastAsia="zh-CN"/>
        </w:rPr>
        <w:t>范围以医院</w:t>
      </w:r>
      <w:r>
        <w:rPr>
          <w:rFonts w:hint="eastAsia" w:asciiTheme="minorEastAsia" w:hAnsiTheme="minorEastAsia" w:eastAsiaTheme="minorEastAsia" w:cstheme="minorEastAsia"/>
        </w:rPr>
        <w:t>现有网络环境及既有安全体系为基础，由供应商根据医院要求完成必要的安全加固配置；系统在完成相关整改和加固后须通过医院的安全评估，合格后方可正式上线运行。</w:t>
      </w:r>
    </w:p>
    <w:p w14:paraId="28293AC5">
      <w:pPr>
        <w:keepNext w:val="0"/>
        <w:keepLines w:val="0"/>
        <w:widowControl/>
        <w:suppressLineNumbers w:val="0"/>
        <w:jc w:val="left"/>
        <w:rPr>
          <w:rFonts w:hint="eastAsia" w:asciiTheme="minorEastAsia" w:hAnsiTheme="minorEastAsia" w:eastAsiaTheme="minorEastAsia" w:cstheme="minorEastAsia"/>
          <w:kern w:val="2"/>
          <w:sz w:val="21"/>
          <w:szCs w:val="22"/>
          <w:lang w:val="en-US" w:eastAsia="zh-CN" w:bidi="ar-SA"/>
        </w:rPr>
      </w:pPr>
      <w:r>
        <w:rPr>
          <w:rFonts w:hint="eastAsia" w:asciiTheme="minorEastAsia" w:hAnsiTheme="minorEastAsia" w:eastAsiaTheme="minorEastAsia" w:cstheme="minorEastAsia"/>
          <w:kern w:val="2"/>
          <w:sz w:val="21"/>
          <w:szCs w:val="22"/>
          <w:lang w:val="en-US" w:eastAsia="zh-CN" w:bidi="ar-SA"/>
        </w:rPr>
        <w:t>3.系统按医院信息化要求提供接口满足支持对接医院数据中台，支撑医院数据整合及互联互通。</w:t>
      </w:r>
    </w:p>
    <w:p w14:paraId="4AD8B043">
      <w:pPr>
        <w:rPr>
          <w:rFonts w:hint="eastAsia" w:asciiTheme="minorEastAsia" w:hAnsiTheme="minorEastAsia" w:eastAsiaTheme="minorEastAsia" w:cstheme="minorEastAsia"/>
          <w:kern w:val="2"/>
          <w:sz w:val="21"/>
          <w:szCs w:val="22"/>
          <w:lang w:val="en-US" w:eastAsia="zh-CN" w:bidi="ar-SA"/>
        </w:rPr>
      </w:pPr>
      <w:r>
        <w:rPr>
          <w:rFonts w:hint="eastAsia" w:asciiTheme="minorEastAsia" w:hAnsiTheme="minorEastAsia" w:eastAsiaTheme="minorEastAsia" w:cstheme="minorEastAsia"/>
          <w:kern w:val="2"/>
          <w:sz w:val="21"/>
          <w:szCs w:val="22"/>
          <w:lang w:val="en-US" w:eastAsia="zh-CN" w:bidi="ar-SA"/>
        </w:rPr>
        <w:br w:type="page"/>
      </w:r>
    </w:p>
    <w:p w14:paraId="7E32D8A0">
      <w:pPr>
        <w:keepNext w:val="0"/>
        <w:keepLines w:val="0"/>
        <w:widowControl/>
        <w:suppressLineNumbers w:val="0"/>
        <w:jc w:val="left"/>
        <w:rPr>
          <w:rFonts w:hint="eastAsia" w:asciiTheme="minorEastAsia" w:hAnsiTheme="minorEastAsia" w:eastAsiaTheme="minorEastAsia" w:cstheme="minorEastAsia"/>
          <w:kern w:val="2"/>
          <w:sz w:val="21"/>
          <w:szCs w:val="22"/>
          <w:lang w:val="en-US" w:eastAsia="zh-CN" w:bidi="ar-SA"/>
        </w:rPr>
      </w:pPr>
    </w:p>
    <w:p w14:paraId="66B26C88">
      <w:pPr>
        <w:widowControl/>
        <w:spacing w:line="300" w:lineRule="exact"/>
        <w:jc w:val="left"/>
        <w:rPr>
          <w:rFonts w:hint="eastAsia" w:asciiTheme="minorEastAsia" w:hAnsiTheme="minorEastAsia" w:eastAsiaTheme="minorEastAsia" w:cstheme="minorEastAsia"/>
          <w:kern w:val="2"/>
          <w:sz w:val="21"/>
          <w:szCs w:val="22"/>
          <w:lang w:val="en-US" w:eastAsia="zh-CN" w:bidi="ar-SA"/>
        </w:rPr>
      </w:pPr>
    </w:p>
    <w:tbl>
      <w:tblPr>
        <w:tblStyle w:val="9"/>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8"/>
        <w:gridCol w:w="6127"/>
      </w:tblGrid>
      <w:tr w14:paraId="4996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9195" w:type="dxa"/>
            <w:gridSpan w:val="2"/>
            <w:tcBorders>
              <w:top w:val="single" w:color="auto" w:sz="4" w:space="0"/>
              <w:left w:val="single" w:color="auto" w:sz="4" w:space="0"/>
              <w:bottom w:val="single" w:color="auto" w:sz="4" w:space="0"/>
              <w:right w:val="single" w:color="auto" w:sz="4" w:space="0"/>
            </w:tcBorders>
            <w:vAlign w:val="center"/>
          </w:tcPr>
          <w:p w14:paraId="6C70312D">
            <w:pPr>
              <w:spacing w:after="156" w:afterLines="50"/>
              <w:jc w:val="center"/>
              <w:rPr>
                <w:rFonts w:ascii="Calibri" w:hAnsi="Calibri" w:eastAsia="宋体" w:cs="Times New Roman"/>
                <w:sz w:val="24"/>
                <w:szCs w:val="24"/>
              </w:rPr>
            </w:pPr>
            <w:r>
              <w:rPr>
                <w:rFonts w:hint="eastAsia" w:ascii="仿宋" w:hAnsi="仿宋" w:eastAsia="仿宋" w:cs="仿宋"/>
                <w:b/>
                <w:bCs/>
                <w:color w:val="000000"/>
                <w:sz w:val="24"/>
                <w:szCs w:val="24"/>
                <w:lang w:bidi="ar"/>
              </w:rPr>
              <w:t>厂商基本信息表</w:t>
            </w:r>
          </w:p>
        </w:tc>
      </w:tr>
      <w:tr w14:paraId="165F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068" w:type="dxa"/>
            <w:tcBorders>
              <w:top w:val="single" w:color="auto" w:sz="4" w:space="0"/>
              <w:left w:val="single" w:color="auto" w:sz="4" w:space="0"/>
              <w:bottom w:val="single" w:color="auto" w:sz="4" w:space="0"/>
              <w:right w:val="single" w:color="auto" w:sz="4" w:space="0"/>
            </w:tcBorders>
            <w:vAlign w:val="center"/>
          </w:tcPr>
          <w:p w14:paraId="4D4FEC01">
            <w:pPr>
              <w:spacing w:after="156" w:afterLines="50"/>
              <w:rPr>
                <w:rFonts w:ascii="Calibri" w:hAnsi="Calibri" w:eastAsia="宋体" w:cs="Times New Roman"/>
                <w:sz w:val="24"/>
                <w:szCs w:val="24"/>
              </w:rPr>
            </w:pPr>
            <w:r>
              <w:rPr>
                <w:rFonts w:hint="eastAsia" w:ascii="Calibri" w:hAnsi="Calibri" w:eastAsia="宋体" w:cs="Times New Roman"/>
                <w:sz w:val="24"/>
                <w:szCs w:val="24"/>
              </w:rPr>
              <w:t>产品相关产业发展情况（请详述全国产业情况及本公司发展情况）</w:t>
            </w:r>
          </w:p>
        </w:tc>
        <w:tc>
          <w:tcPr>
            <w:tcW w:w="6127" w:type="dxa"/>
            <w:tcBorders>
              <w:top w:val="single" w:color="auto" w:sz="4" w:space="0"/>
              <w:left w:val="single" w:color="auto" w:sz="4" w:space="0"/>
              <w:bottom w:val="single" w:color="auto" w:sz="4" w:space="0"/>
              <w:right w:val="single" w:color="auto" w:sz="4" w:space="0"/>
            </w:tcBorders>
            <w:vAlign w:val="center"/>
          </w:tcPr>
          <w:p w14:paraId="069CAB55">
            <w:pPr>
              <w:spacing w:after="156" w:afterLines="50"/>
              <w:rPr>
                <w:rFonts w:ascii="Calibri" w:hAnsi="Calibri" w:eastAsia="宋体" w:cs="Times New Roman"/>
                <w:sz w:val="24"/>
                <w:szCs w:val="24"/>
              </w:rPr>
            </w:pPr>
            <w:r>
              <w:rPr>
                <w:rFonts w:hint="eastAsia" w:ascii="Calibri" w:hAnsi="Calibri" w:eastAsia="宋体" w:cs="Times New Roman"/>
                <w:sz w:val="24"/>
                <w:szCs w:val="24"/>
              </w:rPr>
              <w:t>文字描述</w:t>
            </w:r>
          </w:p>
          <w:p w14:paraId="240117DE">
            <w:pPr>
              <w:spacing w:after="156" w:afterLines="50"/>
              <w:rPr>
                <w:rFonts w:ascii="Calibri" w:hAnsi="Calibri" w:eastAsia="宋体" w:cs="Times New Roman"/>
                <w:sz w:val="24"/>
                <w:szCs w:val="24"/>
              </w:rPr>
            </w:pPr>
            <w:r>
              <w:rPr>
                <w:rFonts w:hint="eastAsia" w:ascii="Calibri" w:hAnsi="Calibri" w:eastAsia="宋体" w:cs="Times New Roman"/>
                <w:sz w:val="24"/>
                <w:szCs w:val="24"/>
              </w:rPr>
              <w:t>1.全国情况：</w:t>
            </w:r>
          </w:p>
          <w:p w14:paraId="3A21F6D2">
            <w:pPr>
              <w:spacing w:after="156" w:afterLines="50"/>
              <w:rPr>
                <w:rFonts w:ascii="Calibri" w:hAnsi="Calibri" w:eastAsia="宋体" w:cs="Times New Roman"/>
                <w:sz w:val="24"/>
                <w:szCs w:val="24"/>
              </w:rPr>
            </w:pPr>
            <w:r>
              <w:rPr>
                <w:rFonts w:hint="eastAsia" w:ascii="Calibri" w:hAnsi="Calibri" w:eastAsia="宋体" w:cs="Times New Roman"/>
                <w:sz w:val="24"/>
                <w:szCs w:val="24"/>
              </w:rPr>
              <w:t>2.本公司情况：</w:t>
            </w:r>
          </w:p>
        </w:tc>
      </w:tr>
      <w:tr w14:paraId="3618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068" w:type="dxa"/>
            <w:tcBorders>
              <w:top w:val="single" w:color="auto" w:sz="4" w:space="0"/>
              <w:left w:val="single" w:color="auto" w:sz="4" w:space="0"/>
              <w:bottom w:val="single" w:color="auto" w:sz="4" w:space="0"/>
              <w:right w:val="single" w:color="auto" w:sz="4" w:space="0"/>
            </w:tcBorders>
            <w:vAlign w:val="center"/>
          </w:tcPr>
          <w:p w14:paraId="2F42815C">
            <w:pPr>
              <w:spacing w:after="156" w:afterLines="50"/>
              <w:rPr>
                <w:rFonts w:ascii="Calibri" w:hAnsi="Calibri" w:eastAsia="宋体" w:cs="Times New Roman"/>
                <w:sz w:val="24"/>
                <w:szCs w:val="24"/>
              </w:rPr>
            </w:pPr>
            <w:r>
              <w:rPr>
                <w:rFonts w:hint="eastAsia" w:ascii="Calibri" w:hAnsi="Calibri" w:eastAsia="宋体" w:cs="Times New Roman"/>
                <w:sz w:val="24"/>
                <w:szCs w:val="24"/>
              </w:rPr>
              <w:t>产品市场供给情况（简述本公司年供给情况，且另附佐证材料）</w:t>
            </w:r>
          </w:p>
        </w:tc>
        <w:tc>
          <w:tcPr>
            <w:tcW w:w="6127" w:type="dxa"/>
            <w:tcBorders>
              <w:top w:val="single" w:color="auto" w:sz="4" w:space="0"/>
              <w:left w:val="single" w:color="auto" w:sz="4" w:space="0"/>
              <w:bottom w:val="single" w:color="auto" w:sz="4" w:space="0"/>
              <w:right w:val="single" w:color="auto" w:sz="4" w:space="0"/>
            </w:tcBorders>
            <w:vAlign w:val="center"/>
          </w:tcPr>
          <w:p w14:paraId="4AD140E5">
            <w:pPr>
              <w:spacing w:after="156" w:afterLines="50"/>
              <w:rPr>
                <w:rFonts w:ascii="Calibri" w:hAnsi="Calibri" w:eastAsia="宋体" w:cs="Times New Roman"/>
                <w:sz w:val="24"/>
                <w:szCs w:val="24"/>
              </w:rPr>
            </w:pPr>
            <w:r>
              <w:rPr>
                <w:rFonts w:hint="eastAsia" w:ascii="Calibri" w:hAnsi="Calibri" w:eastAsia="宋体" w:cs="Times New Roman"/>
                <w:sz w:val="24"/>
                <w:szCs w:val="24"/>
              </w:rPr>
              <w:t>文字描述</w:t>
            </w:r>
          </w:p>
        </w:tc>
      </w:tr>
      <w:tr w14:paraId="3BFD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068" w:type="dxa"/>
            <w:tcBorders>
              <w:top w:val="single" w:color="auto" w:sz="4" w:space="0"/>
              <w:left w:val="single" w:color="auto" w:sz="4" w:space="0"/>
              <w:bottom w:val="single" w:color="auto" w:sz="4" w:space="0"/>
              <w:right w:val="single" w:color="auto" w:sz="4" w:space="0"/>
            </w:tcBorders>
            <w:vAlign w:val="center"/>
          </w:tcPr>
          <w:p w14:paraId="7C4E4E7F">
            <w:pPr>
              <w:spacing w:after="156" w:afterLines="50"/>
              <w:rPr>
                <w:rFonts w:ascii="Calibri" w:hAnsi="Calibri" w:eastAsia="宋体" w:cs="Times New Roman"/>
                <w:sz w:val="24"/>
                <w:szCs w:val="24"/>
              </w:rPr>
            </w:pPr>
            <w:r>
              <w:rPr>
                <w:rFonts w:hint="eastAsia" w:ascii="Calibri" w:hAnsi="Calibri" w:eastAsia="宋体" w:cs="Times New Roman"/>
                <w:sz w:val="24"/>
                <w:szCs w:val="24"/>
              </w:rPr>
              <w:t>同类产品成交情况（进三年的成交情况，且另附佐证材料）</w:t>
            </w:r>
          </w:p>
        </w:tc>
        <w:tc>
          <w:tcPr>
            <w:tcW w:w="6127" w:type="dxa"/>
            <w:tcBorders>
              <w:top w:val="single" w:color="auto" w:sz="4" w:space="0"/>
              <w:left w:val="single" w:color="auto" w:sz="4" w:space="0"/>
              <w:bottom w:val="single" w:color="auto" w:sz="4" w:space="0"/>
              <w:right w:val="single" w:color="auto" w:sz="4" w:space="0"/>
            </w:tcBorders>
            <w:vAlign w:val="center"/>
          </w:tcPr>
          <w:p w14:paraId="58BD865F">
            <w:pPr>
              <w:spacing w:after="156" w:afterLines="50"/>
              <w:rPr>
                <w:rFonts w:ascii="Calibri" w:hAnsi="Calibri" w:eastAsia="宋体" w:cs="Times New Roman"/>
                <w:sz w:val="24"/>
                <w:szCs w:val="24"/>
              </w:rPr>
            </w:pPr>
            <w:r>
              <w:rPr>
                <w:rFonts w:hint="eastAsia" w:ascii="Calibri" w:hAnsi="Calibri" w:eastAsia="宋体" w:cs="Times New Roman"/>
                <w:sz w:val="24"/>
                <w:szCs w:val="24"/>
              </w:rPr>
              <w:t>文字描述</w:t>
            </w:r>
          </w:p>
        </w:tc>
      </w:tr>
      <w:tr w14:paraId="7C41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068" w:type="dxa"/>
            <w:tcBorders>
              <w:top w:val="single" w:color="auto" w:sz="4" w:space="0"/>
              <w:left w:val="single" w:color="auto" w:sz="4" w:space="0"/>
              <w:bottom w:val="single" w:color="auto" w:sz="4" w:space="0"/>
              <w:right w:val="single" w:color="auto" w:sz="4" w:space="0"/>
            </w:tcBorders>
            <w:vAlign w:val="center"/>
          </w:tcPr>
          <w:p w14:paraId="63E9D26C">
            <w:pPr>
              <w:spacing w:after="156" w:afterLines="50"/>
              <w:rPr>
                <w:rFonts w:ascii="Calibri" w:hAnsi="Calibri" w:eastAsia="宋体" w:cs="Times New Roman"/>
                <w:sz w:val="24"/>
                <w:szCs w:val="24"/>
              </w:rPr>
            </w:pPr>
            <w:r>
              <w:rPr>
                <w:rFonts w:hint="eastAsia" w:ascii="Calibri" w:hAnsi="Calibri" w:eastAsia="宋体" w:cs="Times New Roman"/>
                <w:sz w:val="24"/>
                <w:szCs w:val="24"/>
              </w:rPr>
              <w:t>公司企业类型（另附佐证材料）</w:t>
            </w:r>
          </w:p>
        </w:tc>
        <w:tc>
          <w:tcPr>
            <w:tcW w:w="6127" w:type="dxa"/>
            <w:tcBorders>
              <w:top w:val="single" w:color="auto" w:sz="4" w:space="0"/>
              <w:left w:val="single" w:color="auto" w:sz="4" w:space="0"/>
              <w:bottom w:val="single" w:color="auto" w:sz="4" w:space="0"/>
              <w:right w:val="single" w:color="auto" w:sz="4" w:space="0"/>
            </w:tcBorders>
            <w:vAlign w:val="center"/>
          </w:tcPr>
          <w:p w14:paraId="5870F51A">
            <w:pPr>
              <w:spacing w:after="156" w:afterLines="50"/>
              <w:rPr>
                <w:rFonts w:ascii="Calibri" w:hAnsi="Calibri" w:eastAsia="宋体" w:cs="Times New Roman"/>
                <w:sz w:val="24"/>
                <w:szCs w:val="24"/>
              </w:rPr>
            </w:pPr>
            <w:r>
              <w:rPr>
                <w:rFonts w:hint="eastAsia" w:ascii="Calibri" w:hAnsi="Calibri" w:eastAsia="宋体" w:cs="Times New Roman"/>
                <w:sz w:val="24"/>
                <w:szCs w:val="24"/>
              </w:rPr>
              <w:t>大型企业（）中型企业（）小型企业（）微型企业（）监狱企业（）其他</w:t>
            </w:r>
            <w:r>
              <w:rPr>
                <w:rFonts w:ascii="Calibri" w:hAnsi="Calibri" w:eastAsia="宋体" w:cs="Times New Roman"/>
                <w:sz w:val="24"/>
                <w:szCs w:val="24"/>
              </w:rPr>
              <w:t>注：“是”打√</w:t>
            </w:r>
          </w:p>
        </w:tc>
      </w:tr>
    </w:tbl>
    <w:p w14:paraId="7C2E6231">
      <w:pPr>
        <w:spacing w:line="360" w:lineRule="auto"/>
        <w:jc w:val="right"/>
        <w:rPr>
          <w:rFonts w:ascii="仿宋_GB2312" w:hAnsi="仿宋_GB2312" w:eastAsia="仿宋_GB2312" w:cs="Times New Roman"/>
          <w:b/>
          <w:sz w:val="24"/>
          <w:szCs w:val="24"/>
        </w:rPr>
      </w:pPr>
    </w:p>
    <w:p w14:paraId="115FCCA6">
      <w:pPr>
        <w:spacing w:line="360" w:lineRule="auto"/>
        <w:jc w:val="right"/>
        <w:rPr>
          <w:rFonts w:ascii="仿宋_GB2312" w:hAnsi="仿宋_GB2312" w:eastAsia="仿宋_GB2312" w:cs="Times New Roman"/>
          <w:b/>
          <w:sz w:val="24"/>
          <w:szCs w:val="24"/>
        </w:rPr>
      </w:pPr>
      <w:r>
        <w:rPr>
          <w:rFonts w:hint="eastAsia" w:ascii="仿宋_GB2312" w:hAnsi="仿宋_GB2312" w:eastAsia="仿宋_GB2312" w:cs="Times New Roman"/>
          <w:b/>
          <w:sz w:val="24"/>
          <w:szCs w:val="24"/>
        </w:rPr>
        <w:t>厂家（商）：盖公章</w:t>
      </w:r>
    </w:p>
    <w:p w14:paraId="56C4248D">
      <w:pPr>
        <w:spacing w:after="156" w:afterLines="50"/>
        <w:jc w:val="right"/>
        <w:rPr>
          <w:rFonts w:ascii="Calibri" w:hAnsi="Calibri" w:eastAsia="宋体" w:cs="Times New Roman"/>
          <w:sz w:val="24"/>
          <w:szCs w:val="24"/>
        </w:rPr>
      </w:pPr>
      <w:r>
        <w:rPr>
          <w:rFonts w:hint="eastAsia" w:ascii="仿宋_GB2312" w:hAnsi="仿宋_GB2312" w:eastAsia="仿宋_GB2312" w:cs="Times New Roman"/>
          <w:b/>
          <w:sz w:val="28"/>
          <w:szCs w:val="24"/>
        </w:rPr>
        <w:t>日期：   年   月   日</w:t>
      </w:r>
    </w:p>
    <w:p w14:paraId="05D74DF5">
      <w:pPr>
        <w:rPr>
          <w:rFonts w:ascii="Calibri" w:hAnsi="Calibri" w:eastAsia="宋体" w:cs="Times New Roman"/>
          <w:sz w:val="24"/>
          <w:szCs w:val="24"/>
        </w:rPr>
      </w:pPr>
    </w:p>
    <w:p w14:paraId="7644025B">
      <w:pPr>
        <w:spacing w:after="156" w:afterLines="50"/>
        <w:rPr>
          <w:rFonts w:ascii="Calibri" w:hAnsi="Calibri" w:eastAsia="宋体" w:cs="Times New Roman"/>
          <w:sz w:val="24"/>
          <w:szCs w:val="24"/>
        </w:rPr>
      </w:pPr>
      <w:r>
        <w:rPr>
          <w:rFonts w:ascii="Calibri" w:hAnsi="Calibri" w:eastAsia="宋体" w:cs="Times New Roman"/>
          <w:sz w:val="24"/>
          <w:szCs w:val="24"/>
        </w:rPr>
        <w:br w:type="page"/>
      </w:r>
    </w:p>
    <w:p w14:paraId="05564034">
      <w:pPr>
        <w:jc w:val="center"/>
        <w:rPr>
          <w:rFonts w:ascii="方正小标宋简体" w:hAnsi="方正小标宋简体" w:eastAsia="方正小标宋简体" w:cs="Times New Roman"/>
          <w:sz w:val="36"/>
          <w:szCs w:val="36"/>
        </w:rPr>
      </w:pPr>
      <w:r>
        <w:rPr>
          <w:rFonts w:hint="eastAsia" w:ascii="方正小标宋_GBK" w:hAnsi="方正小标宋_GBK" w:eastAsia="方正小标宋_GBK" w:cs="方正小标宋_GBK"/>
          <w:sz w:val="36"/>
          <w:szCs w:val="36"/>
        </w:rPr>
        <w:t>成都市第二人民医院</w:t>
      </w:r>
      <w:r>
        <w:rPr>
          <w:rFonts w:hint="eastAsia" w:ascii="方正小标宋_GBK" w:hAnsi="方正小标宋_GBK" w:eastAsia="方正小标宋_GBK" w:cs="方正小标宋_GBK"/>
          <w:sz w:val="36"/>
          <w:szCs w:val="36"/>
          <w:lang w:val="en-US" w:eastAsia="zh-CN"/>
        </w:rPr>
        <w:t>康复质控云图软件平台构建服务</w:t>
      </w:r>
      <w:r>
        <w:rPr>
          <w:rFonts w:hint="eastAsia" w:ascii="方正小标宋_GBK" w:hAnsi="方正小标宋_GBK" w:eastAsia="方正小标宋_GBK" w:cs="方正小标宋_GBK"/>
          <w:sz w:val="36"/>
          <w:szCs w:val="36"/>
        </w:rPr>
        <w:t>报价表</w:t>
      </w:r>
    </w:p>
    <w:p w14:paraId="482D5064">
      <w:pPr>
        <w:rPr>
          <w:rFonts w:ascii="Calibri" w:hAnsi="Calibri" w:eastAsia="宋体" w:cs="Times New Roman"/>
          <w:sz w:val="24"/>
          <w:szCs w:val="24"/>
        </w:rPr>
      </w:pPr>
    </w:p>
    <w:p w14:paraId="1A338549">
      <w:pPr>
        <w:widowControl/>
        <w:spacing w:after="120" w:line="360" w:lineRule="auto"/>
        <w:ind w:firstLine="720" w:firstLineChars="300"/>
        <w:jc w:val="left"/>
        <w:rPr>
          <w:rFonts w:hint="eastAsia" w:ascii="Calibri" w:hAnsi="Calibri" w:eastAsia="宋体" w:cs="Times New Roman"/>
          <w:smallCaps/>
          <w:sz w:val="24"/>
          <w:szCs w:val="24"/>
        </w:rPr>
      </w:pPr>
    </w:p>
    <w:tbl>
      <w:tblPr>
        <w:tblStyle w:val="9"/>
        <w:tblW w:w="5196" w:type="pct"/>
        <w:jc w:val="center"/>
        <w:tblLayout w:type="fixed"/>
        <w:tblCellMar>
          <w:top w:w="0" w:type="dxa"/>
          <w:left w:w="0" w:type="dxa"/>
          <w:bottom w:w="0" w:type="dxa"/>
          <w:right w:w="0" w:type="dxa"/>
        </w:tblCellMar>
      </w:tblPr>
      <w:tblGrid>
        <w:gridCol w:w="1616"/>
        <w:gridCol w:w="2965"/>
        <w:gridCol w:w="2776"/>
        <w:gridCol w:w="1301"/>
      </w:tblGrid>
      <w:tr w14:paraId="790A65C1">
        <w:tblPrEx>
          <w:tblCellMar>
            <w:top w:w="0" w:type="dxa"/>
            <w:left w:w="0" w:type="dxa"/>
            <w:bottom w:w="0" w:type="dxa"/>
            <w:right w:w="0" w:type="dxa"/>
          </w:tblCellMar>
        </w:tblPrEx>
        <w:trPr>
          <w:trHeight w:val="710" w:hRule="atLeast"/>
          <w:jc w:val="center"/>
        </w:trPr>
        <w:tc>
          <w:tcPr>
            <w:tcW w:w="933"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DAA8596">
            <w:pPr>
              <w:jc w:val="center"/>
              <w:rPr>
                <w:rFonts w:ascii="Calibri" w:hAnsi="Calibri" w:eastAsia="宋体" w:cs="Times New Roman"/>
                <w:sz w:val="24"/>
                <w:szCs w:val="24"/>
              </w:rPr>
            </w:pPr>
            <w:r>
              <w:rPr>
                <w:rFonts w:hint="eastAsia" w:ascii="Calibri" w:hAnsi="Calibri" w:eastAsia="宋体" w:cs="Times New Roman"/>
                <w:sz w:val="24"/>
                <w:szCs w:val="24"/>
              </w:rPr>
              <w:t>项目</w:t>
            </w:r>
          </w:p>
        </w:tc>
        <w:tc>
          <w:tcPr>
            <w:tcW w:w="1712"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23FD9608">
            <w:pPr>
              <w:jc w:val="center"/>
              <w:rPr>
                <w:rFonts w:ascii="Calibri" w:hAnsi="Calibri" w:eastAsia="宋体" w:cs="Times New Roman"/>
                <w:sz w:val="24"/>
                <w:szCs w:val="24"/>
              </w:rPr>
            </w:pPr>
            <w:r>
              <w:rPr>
                <w:rFonts w:hint="eastAsia" w:ascii="Calibri" w:hAnsi="Calibri" w:eastAsia="宋体" w:cs="Times New Roman"/>
                <w:sz w:val="24"/>
                <w:szCs w:val="24"/>
              </w:rPr>
              <w:t>内容</w:t>
            </w:r>
          </w:p>
        </w:tc>
        <w:tc>
          <w:tcPr>
            <w:tcW w:w="1603"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E2C5461">
            <w:pPr>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sz w:val="24"/>
                <w:szCs w:val="24"/>
                <w:lang w:val="en-US" w:eastAsia="zh-CN"/>
              </w:rPr>
              <w:t>报价</w:t>
            </w:r>
          </w:p>
        </w:tc>
        <w:tc>
          <w:tcPr>
            <w:tcW w:w="751" w:type="pct"/>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14:paraId="400F5892">
            <w:pPr>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sz w:val="24"/>
                <w:szCs w:val="24"/>
              </w:rPr>
              <w:t>备注</w:t>
            </w:r>
          </w:p>
        </w:tc>
      </w:tr>
      <w:tr w14:paraId="11BDA3E5">
        <w:tblPrEx>
          <w:tblCellMar>
            <w:top w:w="0" w:type="dxa"/>
            <w:left w:w="0" w:type="dxa"/>
            <w:bottom w:w="0" w:type="dxa"/>
            <w:right w:w="0" w:type="dxa"/>
          </w:tblCellMar>
        </w:tblPrEx>
        <w:trPr>
          <w:trHeight w:val="2035" w:hRule="atLeast"/>
          <w:jc w:val="center"/>
        </w:trPr>
        <w:tc>
          <w:tcPr>
            <w:tcW w:w="933"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7673087">
            <w:pPr>
              <w:jc w:val="center"/>
              <w:rPr>
                <w:rFonts w:ascii="Calibri" w:hAnsi="Calibri" w:eastAsia="宋体" w:cs="Times New Roman"/>
                <w:sz w:val="24"/>
                <w:szCs w:val="24"/>
              </w:rPr>
            </w:pPr>
            <w:r>
              <w:rPr>
                <w:rFonts w:hint="eastAsia" w:ascii="宋体" w:hAnsi="宋体" w:eastAsia="宋体" w:cs="宋体"/>
                <w:color w:val="000000"/>
                <w:kern w:val="0"/>
                <w:szCs w:val="21"/>
                <w:lang w:val="en-US" w:eastAsia="zh-CN" w:bidi="ar"/>
              </w:rPr>
              <w:t>康复质控云图软件平台构建服务</w:t>
            </w:r>
          </w:p>
        </w:tc>
        <w:tc>
          <w:tcPr>
            <w:tcW w:w="1712"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D24382B">
            <w:pPr>
              <w:rPr>
                <w:rFonts w:hint="default" w:ascii="Calibri" w:hAnsi="Calibri" w:eastAsia="宋体" w:cs="Times New Roman"/>
                <w:sz w:val="24"/>
                <w:szCs w:val="24"/>
                <w:lang w:val="en-US" w:eastAsia="zh-CN"/>
              </w:rPr>
            </w:pPr>
            <w:r>
              <w:rPr>
                <w:rFonts w:hint="default" w:ascii="Calibri" w:hAnsi="Calibri" w:eastAsia="宋体" w:cs="Times New Roman"/>
                <w:sz w:val="24"/>
                <w:szCs w:val="24"/>
                <w:lang w:val="en-US" w:eastAsia="zh-CN"/>
              </w:rPr>
              <w:t>满足医院质控信息统计分析相关使用要求。</w:t>
            </w:r>
          </w:p>
        </w:tc>
        <w:tc>
          <w:tcPr>
            <w:tcW w:w="1603"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06F8032">
            <w:pPr>
              <w:rPr>
                <w:rFonts w:hint="default" w:ascii="Calibri" w:hAnsi="Calibri" w:eastAsia="宋体" w:cs="Times New Roman"/>
                <w:sz w:val="24"/>
                <w:szCs w:val="24"/>
                <w:lang w:val="en-US" w:eastAsia="zh-CN"/>
              </w:rPr>
            </w:pPr>
            <w:bookmarkStart w:id="0" w:name="_GoBack"/>
            <w:bookmarkEnd w:id="0"/>
          </w:p>
        </w:tc>
        <w:tc>
          <w:tcPr>
            <w:tcW w:w="75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30C97A0">
            <w:pPr>
              <w:rPr>
                <w:rFonts w:hint="default" w:ascii="Calibri" w:hAnsi="Calibri" w:eastAsia="宋体" w:cs="Times New Roman"/>
                <w:sz w:val="24"/>
                <w:szCs w:val="24"/>
                <w:lang w:val="en-US" w:eastAsia="zh-CN"/>
              </w:rPr>
            </w:pPr>
          </w:p>
        </w:tc>
      </w:tr>
    </w:tbl>
    <w:p w14:paraId="1E523DDB">
      <w:pPr>
        <w:widowControl/>
        <w:spacing w:after="120" w:line="360" w:lineRule="auto"/>
        <w:ind w:firstLine="720" w:firstLineChars="300"/>
        <w:jc w:val="left"/>
        <w:rPr>
          <w:rFonts w:hint="eastAsia" w:ascii="Calibri" w:hAnsi="Calibri" w:eastAsia="宋体" w:cs="Times New Roman"/>
          <w:smallCaps/>
          <w:sz w:val="24"/>
          <w:szCs w:val="24"/>
        </w:rPr>
      </w:pPr>
    </w:p>
    <w:p w14:paraId="71D14115">
      <w:pPr>
        <w:widowControl/>
        <w:spacing w:after="120" w:line="360" w:lineRule="auto"/>
        <w:ind w:firstLine="720" w:firstLineChars="300"/>
        <w:jc w:val="left"/>
        <w:rPr>
          <w:rFonts w:ascii="Calibri" w:hAnsi="Calibri" w:eastAsia="宋体" w:cs="Times New Roman"/>
          <w:smallCaps/>
          <w:sz w:val="24"/>
          <w:szCs w:val="24"/>
        </w:rPr>
      </w:pPr>
      <w:r>
        <w:rPr>
          <w:rFonts w:hint="eastAsia" w:ascii="Calibri" w:hAnsi="Calibri" w:eastAsia="宋体" w:cs="Times New Roman"/>
          <w:smallCaps/>
          <w:sz w:val="24"/>
          <w:szCs w:val="24"/>
        </w:rPr>
        <w:t>报价公司：</w:t>
      </w:r>
    </w:p>
    <w:p w14:paraId="3E6A46E7">
      <w:pPr>
        <w:widowControl/>
        <w:spacing w:after="120" w:line="360" w:lineRule="auto"/>
        <w:ind w:firstLine="720" w:firstLineChars="300"/>
        <w:jc w:val="left"/>
        <w:rPr>
          <w:rFonts w:ascii="Calibri" w:hAnsi="Calibri" w:eastAsia="宋体" w:cs="Times New Roman"/>
          <w:smallCaps/>
          <w:sz w:val="24"/>
          <w:szCs w:val="24"/>
        </w:rPr>
      </w:pPr>
      <w:r>
        <w:rPr>
          <w:rFonts w:hint="eastAsia" w:ascii="Calibri" w:hAnsi="Calibri" w:eastAsia="宋体" w:cs="Times New Roman"/>
          <w:smallCaps/>
          <w:sz w:val="24"/>
          <w:szCs w:val="24"/>
        </w:rPr>
        <w:t>联系方式：</w:t>
      </w:r>
    </w:p>
    <w:p w14:paraId="0D6EB23C">
      <w:pPr>
        <w:widowControl/>
        <w:spacing w:after="120" w:line="360" w:lineRule="auto"/>
        <w:ind w:firstLine="720" w:firstLineChars="300"/>
        <w:jc w:val="left"/>
        <w:rPr>
          <w:rFonts w:ascii="Calibri" w:hAnsi="Calibri" w:eastAsia="宋体" w:cs="Times New Roman"/>
          <w:smallCaps/>
          <w:sz w:val="24"/>
          <w:szCs w:val="24"/>
        </w:rPr>
      </w:pPr>
      <w:r>
        <w:rPr>
          <w:rFonts w:hint="eastAsia" w:ascii="Calibri" w:hAnsi="Calibri" w:eastAsia="宋体" w:cs="Times New Roman"/>
          <w:smallCaps/>
          <w:sz w:val="24"/>
          <w:szCs w:val="24"/>
        </w:rPr>
        <w:t>是否对需求内容完全响应：</w:t>
      </w:r>
    </w:p>
    <w:p w14:paraId="7DC7FA6A">
      <w:pPr>
        <w:widowControl/>
        <w:spacing w:after="120" w:line="360" w:lineRule="auto"/>
        <w:ind w:firstLine="720" w:firstLineChars="300"/>
        <w:jc w:val="left"/>
        <w:rPr>
          <w:rFonts w:ascii="Calibri" w:hAnsi="Calibri" w:eastAsia="宋体" w:cs="Times New Roman"/>
          <w:smallCaps/>
          <w:sz w:val="24"/>
          <w:szCs w:val="24"/>
        </w:rPr>
      </w:pPr>
      <w:r>
        <w:rPr>
          <w:rFonts w:hint="eastAsia" w:ascii="Calibri" w:hAnsi="Calibri" w:eastAsia="宋体" w:cs="Times New Roman"/>
          <w:smallCaps/>
          <w:sz w:val="24"/>
          <w:szCs w:val="24"/>
        </w:rPr>
        <w:t>日期：</w:t>
      </w:r>
    </w:p>
    <w:p w14:paraId="4CF78675">
      <w:pPr>
        <w:widowControl/>
        <w:spacing w:after="120" w:line="360" w:lineRule="auto"/>
        <w:ind w:firstLine="720" w:firstLineChars="300"/>
        <w:jc w:val="left"/>
        <w:rPr>
          <w:rFonts w:ascii="Calibri" w:hAnsi="Calibri" w:eastAsia="宋体" w:cs="Times New Roman"/>
          <w:smallCaps/>
          <w:sz w:val="24"/>
          <w:szCs w:val="24"/>
        </w:rPr>
      </w:pPr>
    </w:p>
    <w:p w14:paraId="4ED683EF">
      <w:pPr>
        <w:widowControl/>
        <w:spacing w:after="120" w:line="360" w:lineRule="auto"/>
        <w:ind w:firstLine="720" w:firstLineChars="300"/>
        <w:jc w:val="left"/>
        <w:rPr>
          <w:rFonts w:ascii="Calibri" w:hAnsi="Calibri" w:eastAsia="宋体" w:cs="Times New Roman"/>
          <w:smallCaps/>
          <w:sz w:val="24"/>
          <w:szCs w:val="24"/>
        </w:rPr>
      </w:pPr>
    </w:p>
    <w:p w14:paraId="14D7BE3F">
      <w:pPr>
        <w:rPr>
          <w:rFonts w:ascii="Calibri" w:hAnsi="Calibri" w:eastAsia="宋体" w:cs="Times New Roman"/>
          <w:sz w:val="24"/>
          <w:szCs w:val="24"/>
        </w:rPr>
      </w:pPr>
    </w:p>
    <w:p w14:paraId="26EEE4A4">
      <w:pPr>
        <w:rPr>
          <w:rFonts w:ascii="Calibri" w:hAnsi="Calibri" w:eastAsia="宋体" w:cs="Times New Roman"/>
          <w:sz w:val="24"/>
          <w:szCs w:val="24"/>
        </w:rPr>
      </w:pPr>
      <w:r>
        <w:rPr>
          <w:rFonts w:ascii="Calibri" w:hAnsi="Calibri" w:eastAsia="宋体" w:cs="Times New Roman"/>
          <w:sz w:val="24"/>
          <w:szCs w:val="24"/>
        </w:rPr>
        <w:br w:type="page"/>
      </w:r>
    </w:p>
    <w:p w14:paraId="225834E0">
      <w:pPr>
        <w:jc w:val="center"/>
        <w:rPr>
          <w:rFonts w:ascii="方正小标宋简体" w:hAnsi="方正小标宋简体" w:eastAsia="方正小标宋简体" w:cs="Times New Roman"/>
          <w:sz w:val="36"/>
          <w:szCs w:val="36"/>
        </w:rPr>
      </w:pPr>
      <w:r>
        <w:rPr>
          <w:rFonts w:hint="eastAsia" w:ascii="方正小标宋_GBK" w:hAnsi="方正小标宋_GBK" w:eastAsia="方正小标宋_GBK" w:cs="方正小标宋_GBK"/>
          <w:sz w:val="36"/>
          <w:szCs w:val="36"/>
        </w:rPr>
        <w:t>成都市第二人民医院</w:t>
      </w:r>
      <w:r>
        <w:rPr>
          <w:rFonts w:hint="eastAsia" w:ascii="方正小标宋_GBK" w:hAnsi="方正小标宋_GBK" w:eastAsia="方正小标宋_GBK" w:cs="方正小标宋_GBK"/>
          <w:sz w:val="36"/>
          <w:szCs w:val="36"/>
          <w:lang w:val="en-US" w:eastAsia="zh-CN"/>
        </w:rPr>
        <w:t>康复质控云图软件平台构建服务</w:t>
      </w:r>
      <w:r>
        <w:rPr>
          <w:rFonts w:hint="eastAsia" w:ascii="方正小标宋_GBK" w:hAnsi="方正小标宋_GBK" w:eastAsia="方正小标宋_GBK" w:cs="方正小标宋_GBK"/>
          <w:sz w:val="36"/>
          <w:szCs w:val="36"/>
        </w:rPr>
        <w:t>建设方案</w:t>
      </w:r>
    </w:p>
    <w:p w14:paraId="7AC340F8">
      <w:pPr>
        <w:jc w:val="center"/>
        <w:rPr>
          <w:rFonts w:ascii="Calibri" w:hAnsi="Calibri" w:eastAsia="宋体" w:cs="Times New Roman"/>
          <w:sz w:val="24"/>
          <w:szCs w:val="24"/>
        </w:rPr>
      </w:pPr>
      <w:r>
        <w:rPr>
          <w:rFonts w:hint="eastAsia" w:ascii="Calibri" w:hAnsi="Calibri" w:eastAsia="宋体" w:cs="Times New Roman"/>
          <w:sz w:val="24"/>
          <w:szCs w:val="24"/>
        </w:rPr>
        <w:t>（模板）</w:t>
      </w:r>
    </w:p>
    <w:p w14:paraId="4C9A670F">
      <w:pPr>
        <w:rPr>
          <w:rFonts w:ascii="Calibri" w:hAnsi="Calibri" w:eastAsia="宋体" w:cs="Times New Roman"/>
          <w:sz w:val="24"/>
          <w:szCs w:val="24"/>
        </w:rPr>
      </w:pPr>
    </w:p>
    <w:p w14:paraId="34EF06B1">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需求xxx</w:t>
      </w:r>
    </w:p>
    <w:p w14:paraId="548A2B6D">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1．需求xxx</w:t>
      </w:r>
    </w:p>
    <w:p w14:paraId="4A9009B6">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回复：（是/否完全响应）</w:t>
      </w:r>
    </w:p>
    <w:p w14:paraId="1A6DD237">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具体方案：</w:t>
      </w:r>
    </w:p>
    <w:p w14:paraId="609B8F49">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2.需求xxx</w:t>
      </w:r>
    </w:p>
    <w:p w14:paraId="23567714">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回复：（是/否完全响应）</w:t>
      </w:r>
    </w:p>
    <w:p w14:paraId="590562FA">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具体方案：</w:t>
      </w:r>
    </w:p>
    <w:p w14:paraId="1219D950">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3.需求xxx</w:t>
      </w:r>
    </w:p>
    <w:p w14:paraId="7EFD0456">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回复：（是/否完全响应）</w:t>
      </w:r>
    </w:p>
    <w:p w14:paraId="5056DB7B">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hint="eastAsia" w:ascii="仿宋" w:hAnsi="仿宋" w:eastAsia="仿宋" w:cs="Times New Roman"/>
          <w:kern w:val="0"/>
          <w:sz w:val="28"/>
          <w:szCs w:val="28"/>
        </w:rPr>
        <w:t>具体方案：</w:t>
      </w:r>
    </w:p>
    <w:p w14:paraId="544F7D5D">
      <w:pPr>
        <w:widowControl/>
        <w:adjustRightInd w:val="0"/>
        <w:snapToGrid w:val="0"/>
        <w:spacing w:after="156" w:afterLines="50" w:line="560" w:lineRule="exact"/>
        <w:ind w:left="720" w:firstLine="556"/>
        <w:rPr>
          <w:rFonts w:ascii="仿宋" w:hAnsi="仿宋" w:eastAsia="仿宋" w:cs="Times New Roman"/>
          <w:kern w:val="0"/>
          <w:sz w:val="28"/>
          <w:szCs w:val="28"/>
        </w:rPr>
      </w:pPr>
      <w:r>
        <w:rPr>
          <w:rFonts w:ascii="仿宋" w:hAnsi="仿宋" w:eastAsia="仿宋" w:cs="Times New Roman"/>
          <w:kern w:val="0"/>
          <w:sz w:val="28"/>
          <w:szCs w:val="28"/>
        </w:rPr>
        <w:t>二、其它</w:t>
      </w:r>
    </w:p>
    <w:p w14:paraId="35068AF6">
      <w:pPr>
        <w:rPr>
          <w:rFonts w:eastAsia="宋体" w:cs="Times New Roman"/>
          <w:szCs w:val="24"/>
        </w:rPr>
      </w:pPr>
    </w:p>
    <w:p w14:paraId="1D6EE0B9">
      <w:pPr>
        <w:widowControl/>
        <w:numPr>
          <w:ilvl w:val="0"/>
          <w:numId w:val="0"/>
        </w:numPr>
        <w:spacing w:before="0" w:beforeAutospacing="0" w:after="0" w:afterAutospacing="0" w:line="560" w:lineRule="exact"/>
        <w:ind w:firstLine="640" w:firstLineChars="200"/>
        <w:jc w:val="both"/>
        <w:rPr>
          <w:rFonts w:hint="eastAsia" w:ascii="仿宋" w:hAnsi="仿宋" w:eastAsia="仿宋" w:cs="仿宋"/>
          <w:color w:val="000000"/>
          <w:kern w:val="0"/>
          <w:sz w:val="32"/>
          <w:szCs w:val="32"/>
          <w:lang w:val="en-US" w:eastAsia="zh-CN" w:bidi="ar-SA"/>
        </w:rPr>
      </w:pPr>
    </w:p>
    <w:p w14:paraId="7AA9A831">
      <w:pPr>
        <w:widowControl/>
        <w:spacing w:line="300" w:lineRule="exact"/>
        <w:jc w:val="left"/>
        <w:rPr>
          <w:rFonts w:ascii="方正仿宋_GBK" w:eastAsia="方正仿宋_GBK"/>
          <w:color w:val="000000"/>
          <w:sz w:val="24"/>
          <w:szCs w:val="24"/>
        </w:rPr>
      </w:pPr>
    </w:p>
    <w:sectPr>
      <w:footerReference r:id="rId3" w:type="default"/>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5C5E425-B851-4E42-98CE-46ACDACC8444}"/>
  </w:font>
  <w:font w:name="Arial">
    <w:panose1 w:val="020B0604020202020204"/>
    <w:charset w:val="01"/>
    <w:family w:val="swiss"/>
    <w:pitch w:val="default"/>
    <w:sig w:usb0="E0002EFF" w:usb1="C000785B" w:usb2="00000009" w:usb3="00000000" w:csb0="400001FF" w:csb1="FFFF0000"/>
    <w:embedRegular r:id="rId2" w:fontKey="{87488DFC-47C9-4BDB-A0A6-7ABE6B6A245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A47AC29-D357-4E99-B837-2A491059A936}"/>
  </w:font>
  <w:font w:name="Symbol">
    <w:panose1 w:val="05050102010706020507"/>
    <w:charset w:val="02"/>
    <w:family w:val="roman"/>
    <w:pitch w:val="default"/>
    <w:sig w:usb0="00000000" w:usb1="00000000" w:usb2="00000000" w:usb3="00000000" w:csb0="80000000" w:csb1="00000000"/>
    <w:embedRegular r:id="rId4" w:fontKey="{6F941B2A-BECF-4CB9-B2F9-1B4C4054B238}"/>
  </w:font>
  <w:font w:name="Calibri">
    <w:panose1 w:val="020F0502020204030204"/>
    <w:charset w:val="00"/>
    <w:family w:val="swiss"/>
    <w:pitch w:val="default"/>
    <w:sig w:usb0="E4002EFF" w:usb1="C000247B" w:usb2="00000009" w:usb3="00000000" w:csb0="200001FF" w:csb1="00000000"/>
    <w:embedRegular r:id="rId5" w:fontKey="{3D00653B-F8F6-4E9D-9F48-A0F20359A054}"/>
  </w:font>
  <w:font w:name="Arial">
    <w:panose1 w:val="020B0604020202020204"/>
    <w:charset w:val="00"/>
    <w:family w:val="swiss"/>
    <w:pitch w:val="default"/>
    <w:sig w:usb0="E0002EFF" w:usb1="C000785B" w:usb2="00000009" w:usb3="00000000" w:csb0="400001FF" w:csb1="FFFF0000"/>
    <w:embedRegular r:id="rId6" w:fontKey="{E427696B-5398-44B6-AC03-376D7D18FA37}"/>
  </w:font>
  <w:font w:name="等线">
    <w:panose1 w:val="02010600030101010101"/>
    <w:charset w:val="86"/>
    <w:family w:val="auto"/>
    <w:pitch w:val="default"/>
    <w:sig w:usb0="A00002BF" w:usb1="38CF7CFA" w:usb2="00000016" w:usb3="00000000" w:csb0="0004000F" w:csb1="00000000"/>
    <w:embedRegular r:id="rId7" w:fontKey="{063F2C59-3BE6-4AFF-988E-F1ECCAA96C70}"/>
  </w:font>
  <w:font w:name="方正仿宋_GB2312">
    <w:panose1 w:val="02000000000000000000"/>
    <w:charset w:val="86"/>
    <w:family w:val="auto"/>
    <w:pitch w:val="default"/>
    <w:sig w:usb0="A00002BF" w:usb1="184F6CFA" w:usb2="00000012" w:usb3="00000000" w:csb0="00040001" w:csb1="00000000"/>
    <w:embedRegular r:id="rId8" w:fontKey="{9D6F1EF4-E188-491D-ACD9-C965C76445B3}"/>
  </w:font>
  <w:font w:name="微软雅黑">
    <w:panose1 w:val="020B0503020204020204"/>
    <w:charset w:val="86"/>
    <w:family w:val="swiss"/>
    <w:pitch w:val="default"/>
    <w:sig w:usb0="80000287" w:usb1="2ACF3C50" w:usb2="00000016" w:usb3="00000000" w:csb0="0004001F" w:csb1="00000000"/>
    <w:embedRegular r:id="rId9" w:fontKey="{30F179CA-93F8-4250-BDF1-7D488FCF7D7C}"/>
  </w:font>
  <w:font w:name="方正仿宋_GBK">
    <w:panose1 w:val="03000509000000000000"/>
    <w:charset w:val="86"/>
    <w:family w:val="script"/>
    <w:pitch w:val="default"/>
    <w:sig w:usb0="00000001" w:usb1="080E0000" w:usb2="00000000" w:usb3="00000000" w:csb0="00040000" w:csb1="00000000"/>
    <w:embedRegular r:id="rId10" w:fontKey="{DEF3B515-255E-4240-BAE4-D534FE4BFA98}"/>
  </w:font>
  <w:font w:name="仿宋">
    <w:panose1 w:val="02010609060101010101"/>
    <w:charset w:val="86"/>
    <w:family w:val="modern"/>
    <w:pitch w:val="default"/>
    <w:sig w:usb0="800002BF" w:usb1="38CF7CFA" w:usb2="00000016" w:usb3="00000000" w:csb0="00040001" w:csb1="00000000"/>
    <w:embedRegular r:id="rId11" w:fontKey="{0A7114AC-7EC8-4A18-8BEB-C74A24A87623}"/>
  </w:font>
  <w:font w:name="仿宋_GB2312">
    <w:altName w:val="仿宋"/>
    <w:panose1 w:val="02010609030101010101"/>
    <w:charset w:val="86"/>
    <w:family w:val="auto"/>
    <w:pitch w:val="default"/>
    <w:sig w:usb0="00000000" w:usb1="00000000" w:usb2="00000000" w:usb3="00000000" w:csb0="00040000" w:csb1="00000000"/>
    <w:embedRegular r:id="rId12" w:fontKey="{A791CE89-F82E-4D05-98A7-C9C352A7EE6D}"/>
  </w:font>
  <w:font w:name="方正小标宋简体">
    <w:altName w:val="Arial Unicode MS"/>
    <w:panose1 w:val="02010601030101010101"/>
    <w:charset w:val="86"/>
    <w:family w:val="auto"/>
    <w:pitch w:val="default"/>
    <w:sig w:usb0="00000000" w:usb1="00000000" w:usb2="00000000" w:usb3="00000000" w:csb0="00040000" w:csb1="00000000"/>
    <w:embedRegular r:id="rId13" w:fontKey="{4CA3B2BF-DCCB-49EC-8702-2C4DA5AA545F}"/>
  </w:font>
  <w:font w:name="方正小标宋_GBK">
    <w:panose1 w:val="03000509000000000000"/>
    <w:charset w:val="86"/>
    <w:family w:val="script"/>
    <w:pitch w:val="default"/>
    <w:sig w:usb0="00000001" w:usb1="080E0000" w:usb2="00000000" w:usb3="00000000" w:csb0="00040000" w:csb1="00000000"/>
    <w:embedRegular r:id="rId14" w:fontKey="{1DA822FC-5BDE-41D9-B43E-622B1475D781}"/>
  </w:font>
  <w:font w:name="KSOFE4500885">
    <w:panose1 w:val="02010609060101010101"/>
    <w:charset w:val="86"/>
    <w:family w:val="auto"/>
    <w:pitch w:val="default"/>
    <w:sig w:usb0="00000001"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B5865">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DA0606">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66DA0606">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9E9056"/>
    <w:multiLevelType w:val="singleLevel"/>
    <w:tmpl w:val="3F9E9056"/>
    <w:lvl w:ilvl="0" w:tentative="0">
      <w:start w:val="3"/>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382230"/>
    <w:rsid w:val="32943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ind w:left="-108" w:leftChars="-36"/>
      <w:outlineLvl w:val="1"/>
    </w:pPr>
    <w:rPr>
      <w:rFonts w:ascii="Arial" w:hAnsi="Arial" w:eastAsia="黑体"/>
      <w:b/>
      <w:sz w:val="32"/>
      <w:lang w:bidi="en-US"/>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Body Text"/>
    <w:basedOn w:val="1"/>
    <w:semiHidden/>
    <w:qFormat/>
    <w:uiPriority w:val="0"/>
    <w:rPr>
      <w:rFonts w:ascii="宋体" w:hAnsi="宋体" w:cs="宋体"/>
      <w:sz w:val="20"/>
      <w:szCs w:val="20"/>
      <w:lang w:eastAsia="en-US"/>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customStyle="1" w:styleId="13">
    <w:name w:val="页眉 字符"/>
    <w:basedOn w:val="11"/>
    <w:link w:val="7"/>
    <w:qFormat/>
    <w:uiPriority w:val="99"/>
    <w:rPr>
      <w:rFonts w:ascii="Calibri" w:hAnsi="Calibri" w:eastAsia="宋体" w:cs="Times New Roman"/>
      <w:kern w:val="2"/>
      <w:sz w:val="18"/>
      <w:szCs w:val="18"/>
    </w:rPr>
  </w:style>
  <w:style w:type="character" w:customStyle="1" w:styleId="14">
    <w:name w:val="页脚 字符"/>
    <w:basedOn w:val="11"/>
    <w:link w:val="6"/>
    <w:qFormat/>
    <w:uiPriority w:val="99"/>
    <w:rPr>
      <w:rFonts w:ascii="Calibri" w:hAnsi="Calibri" w:eastAsia="宋体" w:cs="Times New Roman"/>
      <w:kern w:val="2"/>
      <w:sz w:val="18"/>
      <w:szCs w:val="18"/>
    </w:rPr>
  </w:style>
  <w:style w:type="character" w:customStyle="1" w:styleId="15">
    <w:name w:val="font11"/>
    <w:basedOn w:val="11"/>
    <w:qFormat/>
    <w:uiPriority w:val="0"/>
    <w:rPr>
      <w:rFonts w:hint="eastAsia" w:ascii="宋体" w:hAnsi="宋体" w:eastAsia="宋体" w:cs="宋体"/>
      <w:color w:val="000000"/>
      <w:sz w:val="22"/>
      <w:szCs w:val="22"/>
      <w:u w:val="none"/>
    </w:rPr>
  </w:style>
  <w:style w:type="character" w:customStyle="1" w:styleId="16">
    <w:name w:val="font31"/>
    <w:basedOn w:val="11"/>
    <w:qFormat/>
    <w:uiPriority w:val="0"/>
    <w:rPr>
      <w:rFonts w:ascii="等线" w:hAnsi="等线" w:eastAsia="等线" w:cs="等线"/>
      <w:color w:val="000000"/>
      <w:sz w:val="22"/>
      <w:szCs w:val="22"/>
      <w:u w:val="none"/>
    </w:rPr>
  </w:style>
  <w:style w:type="character" w:customStyle="1" w:styleId="17">
    <w:name w:val="font41"/>
    <w:basedOn w:val="11"/>
    <w:qFormat/>
    <w:uiPriority w:val="0"/>
    <w:rPr>
      <w:rFonts w:ascii="Calibri" w:hAnsi="Calibri" w:cs="Calibri"/>
      <w:color w:val="000000"/>
      <w:sz w:val="22"/>
      <w:szCs w:val="22"/>
      <w:u w:val="none"/>
    </w:rPr>
  </w:style>
  <w:style w:type="character" w:customStyle="1" w:styleId="18">
    <w:name w:val="font51"/>
    <w:basedOn w:val="11"/>
    <w:qFormat/>
    <w:uiPriority w:val="0"/>
    <w:rPr>
      <w:rFonts w:hint="default" w:ascii="Calibri" w:hAnsi="Calibri" w:cs="Calibri"/>
      <w:color w:val="000000"/>
      <w:sz w:val="21"/>
      <w:szCs w:val="21"/>
      <w:u w:val="none"/>
    </w:rPr>
  </w:style>
  <w:style w:type="character" w:customStyle="1" w:styleId="19">
    <w:name w:val="font61"/>
    <w:basedOn w:val="11"/>
    <w:qFormat/>
    <w:uiPriority w:val="0"/>
    <w:rPr>
      <w:rFonts w:hint="eastAsia" w:ascii="等线" w:hAnsi="等线" w:eastAsia="等线" w:cs="等线"/>
      <w:color w:val="000000"/>
      <w:sz w:val="21"/>
      <w:szCs w:val="21"/>
      <w:u w:val="none"/>
    </w:rPr>
  </w:style>
  <w:style w:type="character" w:customStyle="1" w:styleId="20">
    <w:name w:val="font71"/>
    <w:basedOn w:val="11"/>
    <w:qFormat/>
    <w:uiPriority w:val="0"/>
    <w:rPr>
      <w:rFonts w:hint="eastAsia" w:ascii="宋体" w:hAnsi="宋体" w:eastAsia="宋体" w:cs="宋体"/>
      <w:color w:val="000000"/>
      <w:sz w:val="21"/>
      <w:szCs w:val="21"/>
      <w:u w:val="none"/>
    </w:rPr>
  </w:style>
  <w:style w:type="character" w:customStyle="1" w:styleId="21">
    <w:name w:val="font81"/>
    <w:basedOn w:val="11"/>
    <w:qFormat/>
    <w:uiPriority w:val="0"/>
    <w:rPr>
      <w:rFonts w:hint="default" w:ascii="Calibri" w:hAnsi="Calibri" w:cs="Calibri"/>
      <w:color w:val="000000"/>
      <w:sz w:val="21"/>
      <w:szCs w:val="21"/>
      <w:u w:val="none"/>
    </w:rPr>
  </w:style>
  <w:style w:type="paragraph" w:customStyle="1" w:styleId="22">
    <w:name w:val="List Paragraph"/>
    <w:basedOn w:val="1"/>
    <w:unhideWhenUsed/>
    <w:qFormat/>
    <w:uiPriority w:val="99"/>
    <w:pPr>
      <w:ind w:firstLine="420" w:firstLineChars="200"/>
    </w:pPr>
  </w:style>
  <w:style w:type="table" w:customStyle="1" w:styleId="23">
    <w:name w:val="无格式表格 21"/>
    <w:basedOn w:val="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4">
    <w:name w:val="paragraph"/>
    <w:basedOn w:val="1"/>
    <w:semiHidden/>
    <w:qFormat/>
    <w:uiPriority w:val="0"/>
    <w:pPr>
      <w:spacing w:before="100" w:beforeAutospacing="1" w:after="100" w:afterAutospacing="1"/>
    </w:pPr>
    <w:rPr>
      <w:rFonts w:ascii="等线" w:hAnsi="等线" w:eastAsia="等线"/>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2437</Words>
  <Characters>2489</Characters>
  <Lines>55</Lines>
  <Paragraphs>48</Paragraphs>
  <TotalTime>0</TotalTime>
  <ScaleCrop>false</ScaleCrop>
  <LinksUpToDate>false</LinksUpToDate>
  <CharactersWithSpaces>2531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2026-01-05T08:32:00Z</dcterms:created>
  <dc:creator>四米</dc:creator>
  <cp:lastModifiedBy>陈柯岚</cp:lastModifiedBy>
  <dcterms:modified xsi:type="dcterms:W3CDTF">2026-02-26T02:00:15Z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DD60C149C62B4D6B976091F27FE200F6_13</vt:lpwstr>
  </property>
  <property fmtid="{D5CDD505-2E9C-101B-9397-08002B2CF9AE}" pid="4" name="KSOTemplateDocerSaveRecord">
    <vt:lpwstr>eyJoZGlkIjoiNzFlMjMwZGJkMDk0NjRmNTA4MmJkNjU5M2Y3ZjRhZmEiLCJ1c2VySWQiOiIxMDEwNTk2NjIzIn0=</vt:lpwstr>
  </property>
</Properties>
</file>