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4DED">
      <w:pPr>
        <w:pStyle w:val="9"/>
        <w:rPr>
          <w:rFonts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</w:rPr>
      </w:pPr>
      <w:r>
        <w:rPr>
          <w:rFonts w:hint="eastAsia"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</w:rPr>
        <w:t>血糖管理</w:t>
      </w:r>
      <w:r>
        <w:rPr>
          <w:rFonts w:hint="eastAsia"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  <w:lang w:val="en-US" w:eastAsia="zh-CN"/>
        </w:rPr>
        <w:t>信息</w:t>
      </w:r>
      <w:r>
        <w:rPr>
          <w:rFonts w:hint="eastAsia" w:ascii="方正小标宋_GBK" w:hAnsi="CESI宋体-GB2312" w:eastAsia="方正小标宋_GBK" w:cs="方正小标宋_GBK"/>
          <w:b w:val="0"/>
          <w:bCs w:val="0"/>
          <w:snapToGrid w:val="0"/>
          <w:sz w:val="36"/>
          <w:szCs w:val="28"/>
        </w:rPr>
        <w:t>系统建设需求</w:t>
      </w:r>
    </w:p>
    <w:p w14:paraId="76D8D64A">
      <w:pPr>
        <w:spacing w:line="360" w:lineRule="auto"/>
        <w:ind w:firstLine="560" w:firstLineChars="200"/>
        <w:rPr>
          <w:rFonts w:hint="default" w:ascii="方正仿宋_GBK" w:hAnsi="CESI宋体-GB2312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CESI宋体-GB2312" w:eastAsia="方正仿宋_GBK" w:cs="方正仿宋_GBK"/>
          <w:sz w:val="28"/>
          <w:szCs w:val="28"/>
        </w:rPr>
        <w:t>为进一步规范院内糖尿病患者血糖管理，内分泌科已筹备专科医生、护士拟对院内血糖实施管理，以提升我院血糖管理质量及效率，满足病人在原有科室住院的情况下，同时享受内分泌科血糖专科管理，</w:t>
      </w:r>
      <w:r>
        <w:rPr>
          <w:rFonts w:hint="eastAsia" w:ascii="方正仿宋_GBK" w:hAnsi="CESI宋体-GB2312" w:eastAsia="方正仿宋_GBK" w:cs="方正仿宋_GBK"/>
          <w:sz w:val="28"/>
          <w:szCs w:val="28"/>
          <w:lang w:val="en-US" w:eastAsia="zh-CN"/>
        </w:rPr>
        <w:t>进而</w:t>
      </w:r>
      <w:r>
        <w:rPr>
          <w:rFonts w:hint="eastAsia" w:ascii="方正仿宋_GBK" w:hAnsi="CESI宋体-GB2312" w:eastAsia="方正仿宋_GBK" w:cs="方正仿宋_GBK"/>
          <w:sz w:val="28"/>
          <w:szCs w:val="28"/>
        </w:rPr>
        <w:t>提高病人满意度、减少病人多科转诊住院等繁琐手续。</w:t>
      </w:r>
      <w:r>
        <w:rPr>
          <w:rFonts w:hint="eastAsia" w:ascii="方正仿宋_GBK" w:hAnsi="CESI宋体-GB2312" w:eastAsia="方正仿宋_GBK" w:cs="方正仿宋_GBK"/>
          <w:sz w:val="28"/>
          <w:szCs w:val="28"/>
          <w:lang w:val="en-US" w:eastAsia="zh-CN"/>
        </w:rPr>
        <w:t>相关要求如下：</w:t>
      </w:r>
    </w:p>
    <w:p w14:paraId="3CA72173">
      <w:pPr>
        <w:pStyle w:val="16"/>
        <w:numPr>
          <w:numId w:val="0"/>
        </w:numPr>
        <w:spacing w:line="360" w:lineRule="auto"/>
        <w:ind w:left="630" w:leftChars="0"/>
        <w:rPr>
          <w:rFonts w:ascii="方正仿宋_GBK" w:hAnsi="CESI宋体-GB2312" w:eastAsia="方正仿宋_GBK" w:cs="方正仿宋_GBK"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  <w:lang w:val="en-US" w:eastAsia="zh-CN"/>
        </w:rPr>
        <w:t>一、</w:t>
      </w: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技术要求</w:t>
      </w:r>
    </w:p>
    <w:tbl>
      <w:tblPr>
        <w:tblStyle w:val="10"/>
        <w:tblW w:w="891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593"/>
        <w:gridCol w:w="6296"/>
      </w:tblGrid>
      <w:tr w14:paraId="5BD5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3C33">
            <w:pPr>
              <w:pStyle w:val="19"/>
              <w:spacing w:before="0" w:beforeAutospacing="0" w:after="0" w:afterAutospacing="0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506D">
            <w:pPr>
              <w:pStyle w:val="19"/>
              <w:spacing w:before="0" w:beforeAutospacing="0" w:after="0" w:afterAutospacing="0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参数要求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08FB">
            <w:pPr>
              <w:pStyle w:val="19"/>
              <w:spacing w:before="0" w:beforeAutospacing="0" w:after="0" w:afterAutospacing="0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详细说明</w:t>
            </w:r>
          </w:p>
        </w:tc>
      </w:tr>
      <w:tr w14:paraId="499B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FA83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E423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获取患者血糖数据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7F36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对接HIS获取患者血糖、糖化血红蛋白数据</w:t>
            </w:r>
          </w:p>
          <w:p w14:paraId="271142B8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患者血糖数据包括：测量人员信息、患者个人信息、测量时间、血糖结果、血糖结果所属类别（如：空腹血糖、中餐前血糖、中餐后2h血糖等）</w:t>
            </w:r>
          </w:p>
          <w:p w14:paraId="125147E3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 对接LIS获取患者血糖、糖化血红蛋白数据</w:t>
            </w:r>
          </w:p>
          <w:p w14:paraId="3BDF8A95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患者血糖数据包括：测量人员信息、患者个人信息、测量时间、血糖结果、血糖结果所属类别（如：空腹血糖、中餐前血糖、中餐后2h血糖等）</w:t>
            </w:r>
          </w:p>
          <w:p w14:paraId="33EF2FD1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3、对接EMR数据。</w:t>
            </w:r>
          </w:p>
          <w:p w14:paraId="39494F71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4、对接血糖仪获取患者血糖数据。</w:t>
            </w:r>
          </w:p>
        </w:tc>
      </w:tr>
      <w:tr w14:paraId="19F5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A412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EE64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配置血糖数据阈值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0F6A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配置血糖阈值范围</w:t>
            </w:r>
          </w:p>
        </w:tc>
      </w:tr>
      <w:tr w14:paraId="7772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EA1F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1209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血糖值异常，触发诊疗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8F71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2次血糖值在阈值范围外，自动发起向主管医生确认诊疗</w:t>
            </w:r>
          </w:p>
        </w:tc>
      </w:tr>
      <w:tr w14:paraId="5A82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1EF9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B16C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确认诊疗，患者进入虚拟病房，并启动会诊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4397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主管医生知情同意后，点击确认诊疗</w:t>
            </w:r>
          </w:p>
          <w:p w14:paraId="496E3885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</w:p>
          <w:p w14:paraId="1C524734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自动向内分泌内科发送会诊，接收会诊信息后，内分泌科安排医生执行会诊</w:t>
            </w:r>
          </w:p>
          <w:p w14:paraId="6B7761B6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2.自动将患者加入到血糖管理虚拟病房</w:t>
            </w:r>
          </w:p>
        </w:tc>
      </w:tr>
      <w:tr w14:paraId="5A5E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8888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2077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会诊和下医嘱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618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会诊医生在虚拟病房系统内打印院内血糖管理知情同意书，向患者沟通相关事宜。</w:t>
            </w:r>
          </w:p>
          <w:p w14:paraId="0AAF5A02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 会诊医生可在虚拟病房内查看患者的检查、检验报告，浏览病例，查看血糖</w:t>
            </w:r>
          </w:p>
          <w:p w14:paraId="3F7ADC12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3. 记录会诊意见</w:t>
            </w:r>
          </w:p>
          <w:p w14:paraId="12BE47A9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4. 个性化设置患者血糖达标范围</w:t>
            </w:r>
          </w:p>
          <w:p w14:paraId="672FA33B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5. 血糖管理医生下达专科医嘱</w:t>
            </w:r>
          </w:p>
        </w:tc>
      </w:tr>
      <w:tr w14:paraId="0AC4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400A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5095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院内血糖管理专科护士执行医嘱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E349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院内血糖管理专科护士接收虚拟病房医嘱后，查对医嘱，审核收费医嘱，执行治疗医嘱。</w:t>
            </w:r>
          </w:p>
        </w:tc>
      </w:tr>
      <w:tr w14:paraId="6519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0A50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A42D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院内血糖管理专科护士每日巡视病人、观察记录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5651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院内血糖管理专科护士对虚拟病房内所有患者每日巡视一次，进行相关健康宣教，检查各项治疗落实情况，巡视胰岛素泵功能状态，并做好相应记录</w:t>
            </w:r>
          </w:p>
        </w:tc>
      </w:tr>
      <w:tr w14:paraId="5408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A620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E55D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在虚拟病房诊疗结束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126F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诊疗结束，院内血糖管理专科护士审核相关专科医嘱及收费，进行患者宣教，做好记录。患者退出虚拟病房</w:t>
            </w:r>
          </w:p>
        </w:tc>
      </w:tr>
      <w:tr w14:paraId="4FEF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2E52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07FD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系统按照指南要求智能化提示低血糖处置流程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E6F4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糖尿病患者血糖≤3.9mmol/L或非糖尿病患者血糖≤2.8mmol/L时（低血糖标准由医护人员设置，系统默认3.9mmol/L），上传设备液晶显示屏弹窗提示低血糖，选择病人症状，选择处置措施（同步记录至血糖监测表中）后系统开始计时，15min后血糖数据上传设备弹窗+提示音进行复测提示，点击“确认”后扫手腕带测量血糖，若3min系统未接收到低血糖病人的复测血糖值则再次弹窗提示，直至系统接收到复测血糖值，若复测仍为低血糖，再次重复上述步骤；</w:t>
            </w:r>
          </w:p>
        </w:tc>
      </w:tr>
      <w:tr w14:paraId="16CC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9154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010D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数据统计功能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A4F8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1. 低血糖发生率、血糖干预后达标率、高血糖请会诊率、会诊响应及时率；糖尿病患者平均住院日、住院费用、术前等待时间、术后住院时间、院内感染率。</w:t>
            </w:r>
          </w:p>
          <w:p w14:paraId="2E8C5773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2. 能够按科室、按片区提供数据总览情况：高血糖患者数量，低血糖患者数量，虚拟病房管理患者数量。</w:t>
            </w:r>
          </w:p>
          <w:p w14:paraId="6A1D1FCC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3. 智能质控会诊记录、护理巡视记录，若漏书写，虚拟病房内定时弹窗提醒。</w:t>
            </w:r>
          </w:p>
        </w:tc>
      </w:tr>
      <w:tr w14:paraId="6DDD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F98B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7A4B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数据抓取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D88F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同时能够抓取动态血糖监测数据、胰岛素泵数据</w:t>
            </w:r>
          </w:p>
        </w:tc>
      </w:tr>
      <w:tr w14:paraId="1169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73CE">
            <w:pPr>
              <w:pStyle w:val="19"/>
              <w:spacing w:before="0" w:beforeAutospacing="0" w:after="0" w:afterAutospacing="0" w:line="400" w:lineRule="exact"/>
              <w:jc w:val="center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3A69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智能化设置抓取数据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8378">
            <w:pPr>
              <w:pStyle w:val="19"/>
              <w:spacing w:before="0" w:beforeAutospacing="0" w:after="0" w:afterAutospacing="0" w:line="400" w:lineRule="exact"/>
              <w:jc w:val="both"/>
              <w:rPr>
                <w:rFonts w:ascii="方正仿宋_GBK" w:hAnsi="国标宋体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国标宋体" w:eastAsia="方正仿宋_GBK" w:cs="方正仿宋_GBK"/>
                <w:sz w:val="28"/>
                <w:szCs w:val="28"/>
              </w:rPr>
              <w:t>使用科室可在系统内根据需求，自主设置需要抓取的患者信息，如：姓名、住院号、身高、体重、BMI、糖化血红蛋白等</w:t>
            </w:r>
          </w:p>
        </w:tc>
      </w:tr>
    </w:tbl>
    <w:p w14:paraId="01B60E08">
      <w:pPr>
        <w:pStyle w:val="16"/>
        <w:numPr>
          <w:numId w:val="0"/>
        </w:numPr>
        <w:spacing w:line="360" w:lineRule="auto"/>
        <w:ind w:left="630" w:left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  <w:lang w:val="en-US" w:eastAsia="zh-CN"/>
        </w:rPr>
        <w:t>二、</w:t>
      </w: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信息安全要求</w:t>
      </w:r>
    </w:p>
    <w:p w14:paraId="21030B4B">
      <w:pPr>
        <w:pStyle w:val="16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（1）数据库、操作系统等漏洞补丁修复（现有版本如有漏洞，及时更新）</w:t>
      </w:r>
    </w:p>
    <w:p w14:paraId="1728B295">
      <w:pPr>
        <w:pStyle w:val="16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（2）系统漏洞扫描，渗透测试问题修复（2小时内响应，48小时内修复完成）</w:t>
      </w:r>
    </w:p>
    <w:p w14:paraId="73EC6C11">
      <w:pPr>
        <w:pStyle w:val="16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（3）成立安全管理团队：建立「7×24小时安全值班组」（含开发/运维/安全三方联动），实施「1小时响应会议」机制（漏洞确认后立即启动跨部门会议）</w:t>
      </w:r>
    </w:p>
    <w:p w14:paraId="1C6856E2">
      <w:pPr>
        <w:pStyle w:val="16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（4）为保证系统数据稳定性及安全性，在系统上线前需通过甲方组织的安全评估，合格后方可正式上线运行。</w:t>
      </w:r>
    </w:p>
    <w:p w14:paraId="69F57F11">
      <w:pPr>
        <w:pStyle w:val="16"/>
        <w:spacing w:line="360" w:lineRule="auto"/>
        <w:ind w:firstLine="420" w:firstLineChars="0"/>
        <w:rPr>
          <w:rFonts w:asci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 w:cs="方正仿宋_GBK"/>
          <w:sz w:val="28"/>
          <w:szCs w:val="28"/>
        </w:rPr>
        <w:t>（5）服务期内，按照《中华人民共和国网络安全法》、《中华人民共和国保密法》、《信息安全等级保护管理办法》等国家法律法规及相关政策的要求采取相应措施，接受甲方信息安全管理，协助甲方做好信息安全工作，及时处置安全风险。乙方须与甲方签订数据保密协议，须对其服务人员加强信息系统安全管理教育和培训，增强系统安全防意识。</w:t>
      </w:r>
    </w:p>
    <w:p w14:paraId="3F2D518F">
      <w:pPr>
        <w:pStyle w:val="16"/>
        <w:numPr>
          <w:numId w:val="0"/>
        </w:numPr>
        <w:spacing w:line="360" w:lineRule="auto"/>
        <w:ind w:left="630" w:left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  <w:lang w:val="en-US" w:eastAsia="zh-CN"/>
        </w:rPr>
        <w:t>三、</w:t>
      </w: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服务要求</w:t>
      </w:r>
    </w:p>
    <w:p w14:paraId="0F09982F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1）驻场要求：实施阶段需要提供2名人员驻场（项目管理和技术支持），运行维护阶段需要提供1名人员驻场（日常维护和技术支持），每日驻场工作时间不得少于8小时，每周不得少于5天。上、下班按照与采购人约定的时间作息（原则上与采购人作息时间一致）。遵守采购人驻场行为规范，佩戴工号牌上岗，遵守数据变更管控制度。</w:t>
      </w:r>
    </w:p>
    <w:p w14:paraId="1BADC381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（2）运行维护服务周期：3年。</w:t>
      </w:r>
    </w:p>
    <w:p w14:paraId="46E5534E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（3）服务时间和响应：7×24小时全天候运维支持，并及时响应采购人在系统使用中提出的问题；</w:t>
      </w:r>
    </w:p>
    <w:p w14:paraId="0EFFB363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（4）运维服务主要内容：</w:t>
      </w:r>
    </w:p>
    <w:p w14:paraId="608568EF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系统监控：实时监控系统运行状态，及时发现和处理异常</w:t>
      </w:r>
    </w:p>
    <w:p w14:paraId="31C02FFB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故障处理：紧急故障：应用系统因非计划的数据库原因或应用系统自身故障原因造成宕机。30分钟内到达现场，2小时内解决或提供解决方案。非紧急故障：24小时内解决，如果远程无法解决的问题，则到现场解决。</w:t>
      </w:r>
    </w:p>
    <w:p w14:paraId="517FB6FC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性能优化：不少于每两年一次的系统性能分析和优化，提升系统效率</w:t>
      </w:r>
    </w:p>
    <w:p w14:paraId="5B5C3F16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安全维护：提供系统安全保障，每两周进行一次数据库安全检查，出具检查报告，及时处置异常；收到安全隐患通知后，24小时内处置安全隐患。</w:t>
      </w:r>
    </w:p>
    <w:p w14:paraId="3A1E8095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数据备份：不少于每半年一次的备份数据库和关键数据，提供数据恢复支持</w:t>
      </w:r>
    </w:p>
    <w:p w14:paraId="052D74F5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技术支持：提供技术咨询和问题解答、数据提取，协助甲方解决使用过程中遇到的问题</w:t>
      </w:r>
    </w:p>
    <w:p w14:paraId="3D19580F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运维文档：运维服务期间产生的文档及时提供给采购人，文档至少包括：关键事件回溯/复盘报告、巡检记录、需求更改记录、系统更新记录、数据库维护及优化记录、培训学习记录、月度服务分析报告、报告总结。</w:t>
      </w:r>
    </w:p>
    <w:p w14:paraId="1AE5E01B">
      <w:pPr>
        <w:pStyle w:val="16"/>
        <w:spacing w:line="360" w:lineRule="auto"/>
        <w:ind w:firstLine="420" w:firstLine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（5）成果转化：提供协助本系统软件科研成果转化服务，至少包含数据提取、专利撰写、论文协助支持服务。</w:t>
      </w:r>
    </w:p>
    <w:p w14:paraId="57B16BAB">
      <w:pPr>
        <w:pStyle w:val="16"/>
        <w:numPr>
          <w:numId w:val="0"/>
        </w:numPr>
        <w:spacing w:line="360" w:lineRule="auto"/>
        <w:ind w:left="630" w:leftChars="0"/>
        <w:rPr>
          <w:rFonts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  <w:lang w:val="en-US" w:eastAsia="zh-CN"/>
        </w:rPr>
        <w:t>四、</w:t>
      </w: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其它要求</w:t>
      </w:r>
    </w:p>
    <w:p w14:paraId="24854667">
      <w:pPr>
        <w:pStyle w:val="16"/>
        <w:spacing w:line="360" w:lineRule="auto"/>
        <w:ind w:firstLine="420" w:firstLineChars="0"/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本项目实施需要使用服务器、操作系统及数据库，中标供应商应根据本身产品架构和使用需求，提供使用权（至少使用到本项目运行维护期结束）。提供的中央处理器、操作系统和集中式数据库，在“中国信息安全测评中心”或“国家保密科技测评中心</w:t>
      </w:r>
      <w:bookmarkStart w:id="0" w:name="_GoBack"/>
      <w:bookmarkEnd w:id="0"/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t>”发布的“安全可靠测评结果公告”名单内，或者已取得由国家认定检测机构出具的包含CNAS或CMA资质的信创产品检测合格报告。</w:t>
      </w:r>
    </w:p>
    <w:p w14:paraId="77D49E31">
      <w:pP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</w:pPr>
      <w:r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  <w:br w:type="page"/>
      </w:r>
    </w:p>
    <w:p w14:paraId="667AF4CE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tbl>
      <w:tblPr>
        <w:tblStyle w:val="10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102A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451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厂商基本信息表</w:t>
            </w:r>
          </w:p>
        </w:tc>
      </w:tr>
      <w:tr w14:paraId="09AB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54BE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C90A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  <w:p w14:paraId="5196EA7C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1.全国情况：</w:t>
            </w:r>
          </w:p>
          <w:p w14:paraId="2C478553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2.本公司情况：</w:t>
            </w:r>
          </w:p>
        </w:tc>
      </w:tr>
      <w:tr w14:paraId="273C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4458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EFF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30F2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28EC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B91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4983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194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173C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注：“是”打√</w:t>
            </w:r>
          </w:p>
        </w:tc>
      </w:tr>
    </w:tbl>
    <w:p w14:paraId="55619C19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</w:p>
    <w:p w14:paraId="11BCB8F4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4"/>
          <w:szCs w:val="24"/>
        </w:rPr>
        <w:t>厂家（商）：盖公章</w:t>
      </w:r>
    </w:p>
    <w:p w14:paraId="75FC1256">
      <w:pPr>
        <w:spacing w:after="156" w:afterLines="5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8"/>
          <w:szCs w:val="24"/>
        </w:rPr>
        <w:t>日期：   年   月   日</w:t>
      </w:r>
    </w:p>
    <w:p w14:paraId="2CFDB434">
      <w:pPr>
        <w:rPr>
          <w:rFonts w:ascii="Calibri" w:hAnsi="Calibri" w:eastAsia="宋体" w:cs="Times New Roman"/>
          <w:sz w:val="24"/>
          <w:szCs w:val="24"/>
        </w:rPr>
      </w:pPr>
    </w:p>
    <w:p w14:paraId="7637E05F">
      <w:pPr>
        <w:spacing w:after="156" w:afterLines="5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7A6C5C75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血糖管理信息系统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3AC11B45">
      <w:pPr>
        <w:rPr>
          <w:rFonts w:ascii="Calibri" w:hAnsi="Calibri" w:eastAsia="宋体" w:cs="Times New Roman"/>
          <w:sz w:val="24"/>
          <w:szCs w:val="24"/>
        </w:rPr>
      </w:pPr>
    </w:p>
    <w:p w14:paraId="2AE7AAF8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  <w:szCs w:val="24"/>
        </w:rPr>
      </w:pPr>
    </w:p>
    <w:tbl>
      <w:tblPr>
        <w:tblStyle w:val="10"/>
        <w:tblW w:w="519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2967"/>
        <w:gridCol w:w="2778"/>
        <w:gridCol w:w="1302"/>
      </w:tblGrid>
      <w:tr w14:paraId="4795C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1EEB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</w:t>
            </w:r>
          </w:p>
        </w:tc>
        <w:tc>
          <w:tcPr>
            <w:tcW w:w="1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6862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1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BEAE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19E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备注</w:t>
            </w:r>
          </w:p>
        </w:tc>
      </w:tr>
      <w:tr w14:paraId="7CCDE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13E2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血糖管理信息系统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83B9E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通过系统建设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  <w:t>提升我院血糖管理质量及效率，满足病人在原有科室住院的情况下，同时享受内分泌科血糖专科管理，进而提高病人满意度、减少病人多科转诊住院等繁琐手续。</w:t>
            </w:r>
          </w:p>
        </w:tc>
        <w:tc>
          <w:tcPr>
            <w:tcW w:w="1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B5C00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C63C9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4202BAB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  <w:szCs w:val="24"/>
        </w:rPr>
      </w:pPr>
    </w:p>
    <w:p w14:paraId="5589679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报价公司：</w:t>
      </w:r>
    </w:p>
    <w:p w14:paraId="343D2F3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联系方式：</w:t>
      </w:r>
    </w:p>
    <w:p w14:paraId="3A983DF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是否对需求内容完全响应：</w:t>
      </w:r>
    </w:p>
    <w:p w14:paraId="10CE01AF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日期：</w:t>
      </w:r>
    </w:p>
    <w:p w14:paraId="4E7A4BAA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499D79C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531A7403">
      <w:pPr>
        <w:rPr>
          <w:rFonts w:ascii="Calibri" w:hAnsi="Calibri" w:eastAsia="宋体" w:cs="Times New Roman"/>
          <w:sz w:val="24"/>
          <w:szCs w:val="24"/>
        </w:rPr>
      </w:pPr>
    </w:p>
    <w:p w14:paraId="4688CAAA">
      <w:pPr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2D9AB148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血糖管理信息系统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280541A5"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（模板）</w:t>
      </w:r>
    </w:p>
    <w:p w14:paraId="0B480908">
      <w:pPr>
        <w:rPr>
          <w:rFonts w:ascii="Calibri" w:hAnsi="Calibri" w:eastAsia="宋体" w:cs="Times New Roman"/>
          <w:sz w:val="24"/>
          <w:szCs w:val="24"/>
        </w:rPr>
      </w:pPr>
    </w:p>
    <w:p w14:paraId="5D0418C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1E63885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4BF3823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12BFA5E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3338052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02B2309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32AA53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1CAEE81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2EEE1C01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52B57C2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369C87D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667A5B75">
      <w:pPr>
        <w:widowControl w:val="0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left"/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p w14:paraId="6ABFDC85">
      <w:pPr>
        <w:pStyle w:val="16"/>
        <w:spacing w:line="360" w:lineRule="auto"/>
        <w:ind w:firstLine="420" w:firstLineChars="0"/>
        <w:rPr>
          <w:rFonts w:hint="eastAsia" w:ascii="方正仿宋_GBK" w:hAnsi="CESI宋体-GB2312" w:eastAsia="方正仿宋_GBK" w:cs="方正仿宋_GBK"/>
          <w:bCs/>
          <w:snapToGrid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泉驿微米黑">
    <w:altName w:val="Arial Unicode MS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0000000000000000000"/>
    <w:charset w:val="86"/>
    <w:family w:val="script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宋体">
    <w:altName w:val="宋体"/>
    <w:panose1 w:val="00000000000000000000"/>
    <w:charset w:val="86"/>
    <w:family w:val="script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94A26"/>
    <w:multiLevelType w:val="multilevel"/>
    <w:tmpl w:val="42494A26"/>
    <w:lvl w:ilvl="0" w:tentative="0">
      <w:start w:val="1"/>
      <w:numFmt w:val="chineseCountingThousand"/>
      <w:pStyle w:val="2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170" w:firstLine="0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340" w:firstLine="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51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85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02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19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23"/>
    <w:rsid w:val="00147023"/>
    <w:rsid w:val="0036580E"/>
    <w:rsid w:val="003760AB"/>
    <w:rsid w:val="006A6615"/>
    <w:rsid w:val="06A452F3"/>
    <w:rsid w:val="4FDA2DE1"/>
    <w:rsid w:val="52F65BCB"/>
    <w:rsid w:val="732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="Times New Roman"/>
      <w:b/>
      <w:bCs/>
      <w:snapToGrid w:val="0"/>
      <w:sz w:val="28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4"/>
    <w:basedOn w:val="1"/>
    <w:next w:val="1"/>
    <w:link w:val="15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Times New Roman" w:hAnsi="Times New Roman" w:eastAsia="宋体" w:cs="文泉驿微米黑"/>
      <w:b/>
      <w:bCs/>
      <w:sz w:val="32"/>
      <w:szCs w:val="32"/>
    </w:rPr>
  </w:style>
  <w:style w:type="character" w:customStyle="1" w:styleId="12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snapToGrid w:val="0"/>
      <w:kern w:val="2"/>
      <w:sz w:val="28"/>
      <w:szCs w:val="32"/>
      <w:lang w:val="en-US" w:eastAsia="zh-CN" w:bidi="ar-SA"/>
    </w:rPr>
  </w:style>
  <w:style w:type="character" w:customStyle="1" w:styleId="13">
    <w:name w:val="标题 2 Char"/>
    <w:basedOn w:val="11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标题 3 Char"/>
    <w:basedOn w:val="11"/>
    <w:link w:val="4"/>
    <w:qFormat/>
    <w:uiPriority w:val="0"/>
    <w:rPr>
      <w:rFonts w:ascii="Times New Roman" w:hAnsi="Times New Roman" w:eastAsia="宋体" w:cs="Times New Roman"/>
      <w:b/>
      <w:bCs/>
      <w:kern w:val="2"/>
      <w:sz w:val="30"/>
      <w:szCs w:val="32"/>
      <w:lang w:val="en-US" w:eastAsia="zh-CN" w:bidi="ar-SA"/>
    </w:rPr>
  </w:style>
  <w:style w:type="character" w:customStyle="1" w:styleId="15">
    <w:name w:val="标题 4 Char"/>
    <w:basedOn w:val="11"/>
    <w:link w:val="5"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  <w:lang w:val="en-US" w:eastAsia="zh-CN" w:bidi="ar-SA"/>
    </w:r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paragraph" w:styleId="17">
    <w:name w:val="No Spacing"/>
    <w:qFormat/>
    <w:uiPriority w:val="0"/>
    <w:pPr>
      <w:widowControl w:val="0"/>
      <w:spacing w:before="50" w:beforeLines="50" w:line="300" w:lineRule="auto"/>
      <w:jc w:val="both"/>
    </w:pPr>
    <w:rPr>
      <w:rFonts w:ascii="宋体" w:hAnsi="宋体" w:eastAsia="宋体" w:cs="Times New Roman"/>
      <w:color w:val="000000"/>
      <w:kern w:val="2"/>
      <w:sz w:val="18"/>
      <w:szCs w:val="21"/>
      <w:lang w:val="en-US" w:eastAsia="zh-CN" w:bidi="ar-SA"/>
    </w:rPr>
  </w:style>
  <w:style w:type="paragraph" w:customStyle="1" w:styleId="18">
    <w:name w:val="1方案正文"/>
    <w:basedOn w:val="1"/>
    <w:qFormat/>
    <w:uiPriority w:val="0"/>
    <w:pPr>
      <w:spacing w:line="360" w:lineRule="auto"/>
      <w:ind w:firstLine="420"/>
      <w:jc w:val="left"/>
    </w:pPr>
    <w:rPr>
      <w:rFonts w:ascii="Times New Roman" w:hAnsi="Times New Roman"/>
      <w:szCs w:val="20"/>
      <w:lang w:val="zh-CN"/>
    </w:rPr>
  </w:style>
  <w:style w:type="paragraph" w:customStyle="1" w:styleId="1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20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eastAsia="宋体"/>
      <w:color w:val="222A3D"/>
      <w:kern w:val="0"/>
      <w:sz w:val="30"/>
      <w:szCs w:val="30"/>
    </w:rPr>
  </w:style>
  <w:style w:type="paragraph" w:customStyle="1" w:styleId="21">
    <w:name w:val="7 正文"/>
    <w:basedOn w:val="6"/>
    <w:qFormat/>
    <w:uiPriority w:val="0"/>
    <w:pPr>
      <w:spacing w:before="100" w:beforeAutospacing="1" w:after="100" w:afterAutospacing="1" w:line="300" w:lineRule="auto"/>
      <w:ind w:firstLine="200"/>
      <w:jc w:val="left"/>
    </w:pPr>
    <w:rPr>
      <w:rFonts w:ascii="Arial" w:hAnsi="Arial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14495B54-9F5C-45C7-96C3-E8BC19278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2496</Words>
  <Characters>2563</Characters>
  <Lines>19</Lines>
  <Paragraphs>5</Paragraphs>
  <TotalTime>3</TotalTime>
  <ScaleCrop>false</ScaleCrop>
  <LinksUpToDate>false</LinksUpToDate>
  <CharactersWithSpaces>2574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2025-01-23T09:38:00Z</dcterms:created>
  <dc:creator>nana</dc:creator>
  <cp:lastModifiedBy>陈柯岚</cp:lastModifiedBy>
  <dcterms:modified xsi:type="dcterms:W3CDTF">2025-10-20T06:35:56Z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0EB7B0FA31754255AC5B6A1D47EF434B_13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