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b/>
          <w:bCs w:val="0"/>
          <w:color w:val="00000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服务器参数需求</w:t>
      </w:r>
    </w:p>
    <w:p w14:paraId="612A7510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142"/>
      </w:tblGrid>
      <w:tr w14:paraId="3E85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035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08C9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参数</w:t>
            </w:r>
          </w:p>
        </w:tc>
      </w:tr>
      <w:tr w14:paraId="4F3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0A71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前置机服务器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1E7EBE5D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C86-5580（32核/64线程，2.6GHz）或 C86-5480 / C86-5680 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，或华为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鲲鹏 920 5220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32核/64线程，2.6GHz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，或飞腾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腾云 S5000C-32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3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</w:p>
          <w:p w14:paraId="1370E28B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DDR5 5600 ×2</w:t>
            </w:r>
          </w:p>
          <w:p w14:paraId="346FE6B2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1.92TB ×2；RAID 控制卡（2GB缓存 + 智能电池），支持 RAID 0/1/5/10</w:t>
            </w:r>
          </w:p>
          <w:p w14:paraId="12D8B624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RJ45</w:t>
            </w:r>
          </w:p>
          <w:p w14:paraId="37D1150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800W ×2（冗余）</w:t>
            </w:r>
          </w:p>
          <w:p w14:paraId="2EF00642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银河麒麟V10 SP2 / 统信UOS Server V20 SP1 / 中科方德V10（可选）</w:t>
            </w:r>
          </w:p>
          <w:p w14:paraId="70CF9227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轻量超融合支持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功能：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出厂预装国产超融合平台轻量节点版（支持KVM、Ceph、管理控制台）；支持出厂级部署验证。</w:t>
            </w:r>
          </w:p>
        </w:tc>
      </w:tr>
      <w:tr w14:paraId="2A00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F5B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47421EA3">
            <w:pPr>
              <w:numPr>
                <w:ilvl w:val="0"/>
                <w:numId w:val="0"/>
              </w:numPr>
              <w:spacing w:before="0" w:after="180"/>
              <w:rPr>
                <w:rFonts w:ascii="Arial" w:hAnsi="Arial" w:eastAsia="微软雅黑" w:cs="Arial"/>
                <w:color w:val="000000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C86-5680 ×2（48核/96线程×2），可替换为 C86-5580 或 C86-5480 ×2等同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，或津逮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C6740P×2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48核/96线程×2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或同等性能以及以上</w:t>
            </w:r>
          </w:p>
          <w:p w14:paraId="5FB88AA9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DDR5 5600 ×8</w:t>
            </w:r>
          </w:p>
          <w:p w14:paraId="42099B3F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1.92TB ×2</w:t>
            </w:r>
          </w:p>
          <w:p w14:paraId="4778824C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+ 2 × 万兆多模光口（含光模块与跳线）</w:t>
            </w:r>
          </w:p>
          <w:p w14:paraId="5791BE3F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GPU扩展：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≥3个双宽 PCIe x16 插槽，可安装 RTX 4090 / A6000 / A800 级GPU</w:t>
            </w:r>
          </w:p>
          <w:p w14:paraId="181F432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2000W ×2（冗余）</w:t>
            </w:r>
          </w:p>
          <w:p w14:paraId="5203368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银河麒麟V10 SP2（内核≥5.15）</w:t>
            </w:r>
          </w:p>
          <w:p w14:paraId="53B241E0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GPU驱动：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出厂安装 NVIDIA 驱动 ≥550.xx、CUDA ≥12.2，提交 GPU识别与性能报告（含 nvidia-smi 截图）</w:t>
            </w:r>
          </w:p>
          <w:p w14:paraId="1271C626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超融合</w:t>
            </w: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能力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出厂预装 OpenStack + Ceph 模块（或 FusionCompute、星云ClusStor 等国产 HCI 平台），交付即用。</w:t>
            </w:r>
          </w:p>
        </w:tc>
      </w:tr>
      <w:tr w14:paraId="376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2DBE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71A7A8DD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C86-5680 ×2（48核/96线程×2），可替换为 C86-5580 / C86-5480 ×2等同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，或津逮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C6740P×2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48核/96线程×2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）或同等性能以及以上</w:t>
            </w:r>
          </w:p>
          <w:p w14:paraId="27693DB4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DDR5 5600 ×8</w:t>
            </w:r>
          </w:p>
          <w:p w14:paraId="3F4DF706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1.92TB ×2</w:t>
            </w:r>
          </w:p>
          <w:p w14:paraId="3B720BAF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+ 2 × 万兆多模光口（含光模块与跳线）</w:t>
            </w:r>
          </w:p>
          <w:p w14:paraId="253B0B02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GPU扩展</w:t>
            </w: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卡槽3个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≥3个双宽 PCIe x16 插槽，可安装 RTX 4090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以及以上性能</w:t>
            </w:r>
          </w:p>
          <w:p w14:paraId="50C37709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2000W ×2（冗余）</w:t>
            </w:r>
          </w:p>
          <w:p w14:paraId="06241B44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银河麒麟V10 SP2（内核≥5.15）</w:t>
            </w:r>
          </w:p>
          <w:p w14:paraId="7BD3FC9B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GPU驱动：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出厂安装 NVIDIA 驱动 ≥550.xx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或同性系列GPU驱动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，提交 GPU识别截图与性能测试报告</w:t>
            </w:r>
          </w:p>
          <w:p w14:paraId="55520718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超融合支持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出厂预装 Kubernetes / Docker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或同等性能融合平台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环境，可作为 HCI 容器编排与 AI 训练节点；交付前完成集群节点配置、Ceph 网络互通及管理控制台初始化。</w:t>
            </w:r>
          </w:p>
        </w:tc>
      </w:tr>
      <w:tr w14:paraId="568B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EFD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数据聚合平台应用服务器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42AAEE5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C86-5680 ×2（48核/96线程×2），可替换为 C86-5580 / C86-5480 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，或津逮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C6740P×2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48核/96线程×2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）或同等性能以及以上</w:t>
            </w:r>
          </w:p>
          <w:p w14:paraId="3B3B969C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DDR5 5600 ×8</w:t>
            </w:r>
          </w:p>
          <w:p w14:paraId="1A66E822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3.84TB ×2</w:t>
            </w:r>
          </w:p>
          <w:p w14:paraId="21B9CA8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+ 2 × 万兆光口</w:t>
            </w:r>
          </w:p>
          <w:p w14:paraId="79CC97AB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GPU扩展</w:t>
            </w: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3个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≥3个双宽 PCIe x16 插槽，可安装 RTX 4090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以及以上性能</w:t>
            </w:r>
          </w:p>
          <w:p w14:paraId="6971E22A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1300W ×2（冗余）</w:t>
            </w:r>
          </w:p>
          <w:p w14:paraId="7E4475B0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银河麒麟V10 SP2（内核≥5.15）</w:t>
            </w:r>
          </w:p>
          <w:p w14:paraId="432AF35D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GPU驱动：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出厂完成驱动安装（550.xx 以上）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或同性系列GPU驱动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，提供 GPU运行截图及性能报告</w:t>
            </w:r>
          </w:p>
          <w:p w14:paraId="494BFD6B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超融合支持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出厂预装 Kubernetes / Docker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或同等性能融合平台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环境，可作为 HCI 容器编排与 AI 训练节点；交付前完成集群节点配置、Ceph 网络互通及管理控制台初始化。</w:t>
            </w:r>
          </w:p>
        </w:tc>
      </w:tr>
      <w:tr w14:paraId="1414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582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项目代码与项目管理应用服务器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6EB0A369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C86-5580（32核/64线程，2.6GHz）或 C86-5480 / C86-5680 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，或华为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鲲鹏 920 5220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32核/64线程，2.6GHz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，或飞腾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腾云 S5000C-32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3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</w:p>
          <w:p w14:paraId="3F097F95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DDR5 5600 ×2</w:t>
            </w:r>
          </w:p>
          <w:p w14:paraId="200BDC5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1.92TB ×2；RAID 控制卡（2GB缓存 + 智能电池），支持 RAID 0/1/5/10</w:t>
            </w:r>
          </w:p>
          <w:p w14:paraId="7290B63C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RJ45</w:t>
            </w:r>
          </w:p>
          <w:p w14:paraId="26E79DF8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800W ×2（冗余）</w:t>
            </w:r>
          </w:p>
          <w:p w14:paraId="1D946E4F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支持银河麒麟V10 SP2 / 统信UOS Server V20 SP1 / 中科方德V10</w:t>
            </w:r>
          </w:p>
          <w:p w14:paraId="48C821BF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轻量超融合支持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功能：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出厂预装轻量超融合节点（含KVM虚拟化与Ceph存储管理功能）；即插即用，支持集群扩展。</w:t>
            </w:r>
          </w:p>
        </w:tc>
      </w:tr>
    </w:tbl>
    <w:p w14:paraId="72F53036">
      <w:pPr>
        <w:pStyle w:val="3"/>
        <w:rPr>
          <w:rFonts w:ascii="等线 Light" w:hAnsi="等线 Light" w:eastAsia="等线 Light" w:cs="Times New Roman"/>
          <w:color w:val="2E75B5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等线 Light" w:hAnsi="等线 Light" w:eastAsia="等线 Light" w:cs="Times New Roman"/>
          <w:color w:val="000000"/>
        </w:rPr>
        <w:t>二、</w:t>
      </w:r>
      <w:r>
        <w:rPr>
          <w:rFonts w:ascii="等线 Light" w:hAnsi="等线 Light" w:eastAsia="等线 Light" w:cs="Times New Roman"/>
          <w:color w:val="000000"/>
        </w:rPr>
        <w:t>信创与超融合技术要求</w:t>
      </w:r>
    </w:p>
    <w:tbl>
      <w:tblPr>
        <w:tblStyle w:val="5"/>
        <w:tblW w:w="855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140"/>
      </w:tblGrid>
      <w:tr w14:paraId="573EAF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571FB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9E94D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要求内容</w:t>
            </w:r>
          </w:p>
        </w:tc>
      </w:tr>
      <w:tr w14:paraId="2DABC9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80C4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信创架构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83D69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CPU、操作系统、虚拟化、驱动均为国产信创兼容版本；支持国密算法与安全登录。</w:t>
            </w:r>
          </w:p>
        </w:tc>
      </w:tr>
      <w:tr w14:paraId="30ACC7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204E7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超融合环境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7B023">
            <w:pPr>
              <w:widowControl/>
              <w:spacing w:before="60" w:after="60"/>
              <w:jc w:val="left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  <w:lang w:bidi="ar"/>
              </w:rPr>
              <w:t>出厂预装国产化超融合平台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 xml:space="preserve">（如 </w:t>
            </w:r>
            <w:r>
              <w:rPr>
                <w:rFonts w:ascii="宋体" w:hAnsi="宋体" w:eastAsia="宋体" w:cs="宋体"/>
                <w:i/>
                <w:iCs/>
                <w:color w:val="333333"/>
                <w:kern w:val="0"/>
                <w:sz w:val="24"/>
                <w:lang w:bidi="ar"/>
              </w:rPr>
              <w:t>OpenStack + Ceph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eastAsia="宋体" w:cs="宋体"/>
                <w:i/>
                <w:iCs/>
                <w:color w:val="333333"/>
                <w:kern w:val="0"/>
                <w:sz w:val="24"/>
                <w:lang w:bidi="ar"/>
              </w:rPr>
              <w:t>FusionCompute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eastAsia="宋体" w:cs="宋体"/>
                <w:i/>
                <w:iCs/>
                <w:color w:val="333333"/>
                <w:kern w:val="0"/>
                <w:sz w:val="24"/>
                <w:lang w:bidi="ar"/>
              </w:rPr>
              <w:t>星云 ClusStor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 xml:space="preserve"> 或其他具有同等性能与功能的国产超融合技术方案）；系统应在交付后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  <w:lang w:bidi="ar"/>
              </w:rPr>
              <w:t>无需重新安装即可投入使用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，并应支持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  <w:lang w:bidi="ar"/>
              </w:rPr>
              <w:t>未来服务器节点的在线扩容与自动兼容接入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，确保后续集群资源统一调度与管理</w:t>
            </w:r>
          </w:p>
          <w:p w14:paraId="1EA8BC37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</w:p>
        </w:tc>
      </w:tr>
      <w:tr w14:paraId="259B9E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DA2A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统一管理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109A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满足商用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开源方案实现同等功能（如 Sealos 或 Harvester）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或其他管理系统，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  <w:lang w:bidi="ar"/>
              </w:rPr>
              <w:t>提供可视化 Web 控制台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，支持统一的虚拟化与容器化资源管理，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具备虚拟机创建、容器编排、资源调度、性能监控、告警管理与日志分析功能；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支持多租户隔离、角色权限分级、资源使用可视化及运行健康评分，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满足医院信息系统集中管理与持续运维要求。</w:t>
            </w:r>
          </w:p>
        </w:tc>
      </w:tr>
      <w:tr w14:paraId="4853E9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32B0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分布式存储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B1D11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支持Ceph或等效架构，具备数据冗余、热迁移、快照与副本机制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，支持未来新服务器同等性能节点扩展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。</w:t>
            </w:r>
          </w:p>
        </w:tc>
      </w:tr>
      <w:tr w14:paraId="1A3828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38CFCF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GPU虚拟化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E5EA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支持NVIDIA vGPU / CUDA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等同级别算力显卡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并行计算；兼容RTX4090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或同等性能以及以上GPU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；提供显卡直通与共享方案。</w:t>
            </w:r>
          </w:p>
        </w:tc>
      </w:tr>
      <w:tr w14:paraId="6D79EBE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EE85E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安全与合规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C6E89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网络安全等级保护基本要求》（GB/T 22239-2019）及等保2.0 三级安全保护标准；</w:t>
            </w:r>
          </w:p>
          <w:p w14:paraId="103358CA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云计算服务安全能力要求》（GB/T 25070-2019）；</w:t>
            </w:r>
          </w:p>
          <w:p w14:paraId="62C1FBA8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私有云技术参考架构》（GB/T 31167-2014）；</w:t>
            </w:r>
          </w:p>
          <w:p w14:paraId="116EEB3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《中华人民共和国网络安全法》《数据安全法》《个人信息保护法》；</w:t>
            </w:r>
          </w:p>
          <w:p w14:paraId="47EF2CE8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医疗行业相关标准，如《电子病历基本架构与数据标准》（WS 445-2022）、《医院信息平台构建规范》；</w:t>
            </w:r>
          </w:p>
          <w:p w14:paraId="72C08E25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系统建设单位应协助医院通过等保2.0 </w:t>
            </w:r>
            <w:r>
              <w:rPr>
                <w:rFonts w:ascii="Arial" w:hAnsi="Arial" w:eastAsia="微软雅黑" w:cs="Arial"/>
                <w:b/>
                <w:color w:val="000000"/>
                <w:kern w:val="0"/>
                <w:sz w:val="22"/>
              </w:rPr>
              <w:t>三级测评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，提供安全加固、渗透测试及整改报告；</w:t>
            </w:r>
          </w:p>
          <w:p w14:paraId="564A4FE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</w:p>
        </w:tc>
      </w:tr>
      <w:tr w14:paraId="79477E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8A48F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验收测试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F2511">
            <w:pPr>
              <w:spacing w:before="0" w:after="0"/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厂商须演示：</w:t>
            </w:r>
          </w:p>
          <w:p w14:paraId="5E5051F0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① 超融合集群创建、节点注册与资源调度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满足后续扩展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；</w:t>
            </w:r>
          </w:p>
          <w:p w14:paraId="4448A53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② 虚拟机与容器的创建、启动及迁移演示；</w:t>
            </w:r>
          </w:p>
          <w:p w14:paraId="784B751C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③ GPU 加速卡识别与驱动加载状态验证；</w:t>
            </w:r>
          </w:p>
          <w:p w14:paraId="1DC9D842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④ 通用计算加速驱动工具输出信息（如设备识别与算力状态显示）；</w:t>
            </w:r>
          </w:p>
          <w:p w14:paraId="552AACF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⑤ 加速计算性能测试（含 FP16/FP32 并行性能验证与多任务调度测试）；</w:t>
            </w:r>
          </w:p>
          <w:p w14:paraId="28B9A6C3">
            <w:pPr>
              <w:spacing w:before="0" w:after="0"/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⑥ 驱动与框架兼容性报告（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满足任意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CUDA / ROCm / OpenCL / CANN / OneAPI 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或同级别性能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环境验证结果）。</w:t>
            </w:r>
          </w:p>
        </w:tc>
      </w:tr>
    </w:tbl>
    <w:p w14:paraId="70610DE0">
      <w:pP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br w:type="page"/>
      </w:r>
    </w:p>
    <w:p w14:paraId="5F9BBE8B">
      <w:pPr>
        <w:keepNext/>
        <w:keepLines/>
        <w:widowControl w:val="0"/>
        <w:spacing w:before="160" w:after="80"/>
        <w:jc w:val="both"/>
        <w:outlineLvl w:val="1"/>
        <w:rPr>
          <w:rFonts w:ascii="等线 Light" w:hAnsi="等线 Light" w:eastAsia="等线 Light" w:cs="Times New Roman"/>
          <w:color w:val="2E75B5"/>
          <w:kern w:val="2"/>
          <w:sz w:val="40"/>
          <w:szCs w:val="40"/>
          <w:lang w:val="en-US" w:eastAsia="zh-CN" w:bidi="ar-SA"/>
        </w:rPr>
      </w:pP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三</w:t>
      </w:r>
      <w:r>
        <w:rPr>
          <w:rFonts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、</w:t>
      </w: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服务器</w:t>
      </w:r>
      <w:r>
        <w:rPr>
          <w:rFonts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厂商考核</w:t>
      </w:r>
    </w:p>
    <w:tbl>
      <w:tblPr>
        <w:tblStyle w:val="5"/>
        <w:tblW w:w="850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1706"/>
        <w:gridCol w:w="1412"/>
      </w:tblGrid>
      <w:tr w14:paraId="7652E2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DC3D0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D0F77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考核项目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DF6008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考核标准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24136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周期</w:t>
            </w:r>
          </w:p>
        </w:tc>
      </w:tr>
      <w:tr w14:paraId="48FA07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A5268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部署效率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20E2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设备上架、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满足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OS、HCI与GPU环境部署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9647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启动后15个工作日内完成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46CF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27C4B3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9DE8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系统兼容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CA7D1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满足配套的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麒麟/UOS/方德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任意国产信创系统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稳定运行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2BA9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≥9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C6B1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254414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3219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GPU驱动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9F70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GPU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驱动安装完整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测试报告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9768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100%通过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23B5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一次性</w:t>
            </w:r>
          </w:p>
        </w:tc>
      </w:tr>
      <w:tr w14:paraId="302159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E4EA8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超融合功能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B23A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集群运行、管理可用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00D47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100%可用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8635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一次性</w:t>
            </w:r>
          </w:p>
        </w:tc>
      </w:tr>
      <w:tr w14:paraId="73118B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AF67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性能达标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0212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CPU、内存、I/O测试合格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14A4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达标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3EBA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1FDE8E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AECB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安全与合规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DBC57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等保2.0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三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62C1B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达标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1BCA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</w:t>
            </w:r>
          </w:p>
        </w:tc>
      </w:tr>
      <w:tr w14:paraId="3CDEE16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4731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培训交付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CF379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≥2次培训+文档齐全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0A95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满意度≥90%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F79B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512916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109EB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稳定运行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407B8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年度系统稳定率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396D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≥9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5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E7174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</w:t>
            </w:r>
          </w:p>
        </w:tc>
      </w:tr>
      <w:tr w14:paraId="5F55DC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3B2E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运维报告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9BA5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季度巡检、日志分析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EB828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提交率100%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DFFA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季度</w:t>
            </w:r>
          </w:p>
        </w:tc>
      </w:tr>
    </w:tbl>
    <w:p w14:paraId="3080F3C0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09C9FC4F">
      <w:pPr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3E160A08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0DCC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524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2416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2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A1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24586E4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6E62F24F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4B2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D58D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44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1E7E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24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506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6294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F8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A7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09EBCB1E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320C39E9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3562C584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4FFDBB06">
      <w:pPr>
        <w:rPr>
          <w:rFonts w:ascii="Calibri" w:hAnsi="Calibri" w:eastAsia="宋体" w:cs="Times New Roman"/>
          <w:sz w:val="24"/>
        </w:rPr>
      </w:pPr>
    </w:p>
    <w:p w14:paraId="718EFBE6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398BB6D3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458AA0C9">
      <w:pPr>
        <w:rPr>
          <w:rFonts w:ascii="Calibri" w:hAnsi="Calibri" w:eastAsia="宋体" w:cs="Times New Roman"/>
          <w:sz w:val="24"/>
        </w:rPr>
      </w:pPr>
    </w:p>
    <w:p w14:paraId="3B58BE6D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4"/>
        <w:tblW w:w="519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783"/>
        <w:gridCol w:w="2094"/>
        <w:gridCol w:w="1302"/>
      </w:tblGrid>
      <w:tr w14:paraId="5961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D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97E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FD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报价（元/台）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CAD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435B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前置机服务器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1C96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109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5029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20B3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FD8E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EACD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52AE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557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F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D45DB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B2CB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E535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1F9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数据聚合平台应用服务器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C22B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A7D28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8E01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BA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项目代码与项目管理应用服务器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7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8B30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7E6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 w14:paraId="7AD9413F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26D9B12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报价公司：</w:t>
      </w:r>
    </w:p>
    <w:p w14:paraId="7C9C40A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联系方式：</w:t>
      </w:r>
    </w:p>
    <w:p w14:paraId="016B3EC0">
      <w:pPr>
        <w:widowControl/>
        <w:spacing w:after="120" w:line="360" w:lineRule="auto"/>
        <w:ind w:firstLine="840" w:firstLineChars="300"/>
        <w:jc w:val="left"/>
        <w:rPr>
          <w:rFonts w:hint="eastAsia"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是否对需求内容完全响应：</w:t>
      </w:r>
    </w:p>
    <w:p w14:paraId="6CE417A6">
      <w:pPr>
        <w:widowControl/>
        <w:spacing w:after="120" w:line="360" w:lineRule="auto"/>
        <w:ind w:firstLine="840" w:firstLineChars="300"/>
        <w:jc w:val="left"/>
        <w:rPr>
          <w:rFonts w:hint="default" w:ascii="Calibri" w:hAnsi="Calibri" w:eastAsia="宋体" w:cs="Times New Roman"/>
          <w:smallCap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mallCaps/>
          <w:sz w:val="28"/>
          <w:szCs w:val="28"/>
          <w:lang w:val="en-US" w:eastAsia="zh-CN"/>
        </w:rPr>
        <w:t>是否为四川省框架协议电子化采购平台入住商家：</w:t>
      </w:r>
    </w:p>
    <w:p w14:paraId="5961F110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日期：</w:t>
      </w:r>
    </w:p>
    <w:p w14:paraId="5719DBE0">
      <w:pPr>
        <w:rPr>
          <w:rFonts w:ascii="Calibri" w:hAnsi="Calibri" w:eastAsia="宋体" w:cs="Times New Roman"/>
          <w:sz w:val="24"/>
        </w:rPr>
      </w:pPr>
    </w:p>
    <w:p w14:paraId="0D3134D4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7DBFE7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07CDF146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77AAFEAE">
      <w:pPr>
        <w:rPr>
          <w:rFonts w:ascii="Calibri" w:hAnsi="Calibri" w:eastAsia="宋体" w:cs="Times New Roman"/>
          <w:sz w:val="24"/>
        </w:rPr>
      </w:pPr>
    </w:p>
    <w:p w14:paraId="0210335A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5004FE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7FC566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4250CF7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1C619F1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4EE6E6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C4405B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FCAAAB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1FC93A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50AFA92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2AE8E4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3A14DAAE"/>
    <w:p w14:paraId="3CD1822F">
      <w:pPr>
        <w:pStyle w:val="9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626EF31">
      <w:pPr>
        <w:ind w:firstLine="420" w:firstLineChars="200"/>
        <w:rPr>
          <w:rFonts w:hint="default"/>
          <w:lang w:val="en-US" w:eastAsia="zh-CN"/>
        </w:rPr>
      </w:pPr>
    </w:p>
    <w:p w14:paraId="63702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14187948"/>
    <w:rsid w:val="17BC1621"/>
    <w:rsid w:val="1DD97567"/>
    <w:rsid w:val="28431FAD"/>
    <w:rsid w:val="2BB205E2"/>
    <w:rsid w:val="2EA17C2D"/>
    <w:rsid w:val="359D5358"/>
    <w:rsid w:val="3F20745A"/>
    <w:rsid w:val="45C842D8"/>
    <w:rsid w:val="47D72FBA"/>
    <w:rsid w:val="4E673F0F"/>
    <w:rsid w:val="54D817C4"/>
    <w:rsid w:val="682C7B49"/>
    <w:rsid w:val="714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1583</Words>
  <Characters>2284</Characters>
  <Lines>0</Lines>
  <Paragraphs>0</Paragraphs>
  <TotalTime>0</TotalTime>
  <ScaleCrop>false</ScaleCrop>
  <LinksUpToDate>false</LinksUpToDate>
  <CharactersWithSpaces>2541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2025-06-06T03:41:00Z</dcterms:created>
  <dc:creator>Administrator</dc:creator>
  <cp:lastModifiedBy>陈柯岚</cp:lastModifiedBy>
  <dcterms:modified xsi:type="dcterms:W3CDTF">2025-10-16T08:55:14Z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1B06463CD7A9411B8FC114D11CD0195A_13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