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B6D742">
      <w:pPr>
        <w:widowControl/>
        <w:tabs>
          <w:tab w:val="left" w:pos="11"/>
          <w:tab w:val="left" w:pos="152"/>
          <w:tab w:val="left" w:pos="294"/>
        </w:tabs>
        <w:jc w:val="center"/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</w:pPr>
      <w:r>
        <w:rPr>
          <w:rFonts w:hint="eastAsia" w:ascii="方正小标宋_GBK" w:hAnsi="方正小标宋_GBK" w:eastAsia="方正小标宋_GBK" w:cs="方正小标宋_GBK"/>
          <w:b w:val="0"/>
          <w:bCs/>
          <w:sz w:val="44"/>
          <w:szCs w:val="44"/>
          <w:highlight w:val="none"/>
        </w:rPr>
        <w:t>公共卫生监测管理系统采购需求</w:t>
      </w:r>
    </w:p>
    <w:p w14:paraId="200CCB67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本项目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拟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采购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公共卫生监测管理系统，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用于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医院疾病监测相关预警、信息查询和抓取、报告、统计分析、对接、反馈、管理等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。</w:t>
      </w:r>
    </w:p>
    <w:p w14:paraId="1EBDD3AD">
      <w:pPr>
        <w:pStyle w:val="15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firstLine="560" w:firstLineChars="200"/>
        <w:jc w:val="both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本项目实施需要使用计算资源、存储资源等，中标供应商应根据本身产品架构和使用需求，提供满足不低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于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5年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系统使用的计算资源、存储资源及相应操作系统。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提供的中央处理器和操作系统应在“中国信息安全测评中心”或“国家保密科技测评中心”发布的“安全可靠测评结果公告”名单内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。同时，供应商针对于本次系统建设所提供的数据库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>如有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eastAsia="zh-CN"/>
        </w:rPr>
        <w:t>）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，应在“中国信息安全测评中心”或“国家保密科技测评中心”发布的“安全可靠测评结果公告”名单内。所产生的全部费用应包含在本次项目整体报价内。</w:t>
      </w:r>
    </w:p>
    <w:p w14:paraId="764B5EC6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leftChars="0" w:hanging="11" w:firstLineChars="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</w:rPr>
        <w:t> </w:t>
      </w:r>
      <w:r>
        <w:rPr>
          <w:rFonts w:hint="eastAsia" w:ascii="宋体" w:hAnsi="宋体" w:eastAsia="宋体" w:cs="宋体"/>
          <w:color w:val="000000"/>
          <w:sz w:val="28"/>
          <w:szCs w:val="28"/>
          <w:highlight w:val="none"/>
          <w:lang w:val="en-US" w:eastAsia="zh-CN"/>
        </w:rPr>
        <w:t xml:space="preserve">   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highlight w:val="none"/>
          <w:lang w:val="en-US" w:eastAsia="zh-CN"/>
        </w:rPr>
        <w:t>一、系统参数要求</w:t>
      </w:r>
    </w:p>
    <w:p w14:paraId="30EDBAA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9" w:leftChars="133" w:firstLine="264" w:firstLineChars="94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highlight w:val="none"/>
          <w:lang w:val="en-US" w:eastAsia="zh-CN" w:bidi="ar-SA"/>
        </w:rPr>
        <w:t>（一）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系统总体功能要求</w:t>
      </w:r>
    </w:p>
    <w:p w14:paraId="3244BDD5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"/>
          <w:tab w:val="left" w:pos="1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1.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符合《中华人民共和国传染病防治法》等有关传染病等疾病监测相关法律法规、技术规范、文件方案以及各级卫生健康、疾控部门和疾控机构等相关要求。</w:t>
      </w:r>
    </w:p>
    <w:p w14:paraId="574787C8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"/>
          <w:tab w:val="left" w:pos="152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Chars="200" w:firstLine="560" w:firstLineChars="200"/>
        <w:textAlignment w:val="auto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:lang w:val="en-US" w:eastAsia="zh-CN"/>
          <w14:textFill>
            <w14:solidFill>
              <w14:schemeClr w14:val="tx1"/>
            </w14:solidFill>
          </w14:textFill>
        </w:rPr>
        <w:t>2.</w:t>
      </w:r>
      <w:r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highlight w:val="none"/>
          <w14:textFill>
            <w14:solidFill>
              <w14:schemeClr w14:val="tx1"/>
            </w14:solidFill>
          </w14:textFill>
        </w:rPr>
        <w:t>能够实现与医院现有信息系统的数据对接，具有自动完成HIS、LIS、PACS、电子病历等系统的数据加载功能，并自动完成各项数据匹配。</w:t>
      </w:r>
    </w:p>
    <w:p w14:paraId="08A8C667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560" w:firstLineChars="200"/>
        <w:textAlignment w:val="auto"/>
        <w:rPr>
          <w:rFonts w:hint="eastAsia" w:ascii="宋体" w:hAnsi="宋体" w:eastAsia="宋体" w:cs="宋体"/>
          <w:b w:val="0"/>
          <w:bCs/>
          <w:kern w:val="28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3.</w:t>
      </w:r>
      <w:r>
        <w:rPr>
          <w:rFonts w:hint="eastAsia" w:ascii="宋体" w:hAnsi="宋体" w:eastAsia="宋体" w:cs="宋体"/>
          <w:b w:val="0"/>
          <w:bCs/>
          <w:kern w:val="28"/>
          <w:sz w:val="28"/>
          <w:szCs w:val="28"/>
          <w:highlight w:val="none"/>
        </w:rPr>
        <w:t>报卡信息自动校验数据的准确性包括身份证、地址、电话号码等。验证特殊职业人群的工作单位/学校年级班级、14岁以下儿童家长姓名等，新生儿或无身份证号的患儿提醒医生填写其父（母）亲的证件号码。</w:t>
      </w:r>
    </w:p>
    <w:p w14:paraId="3B7FF338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42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4.报告支持地址反查功能，如输入某个街道，自动生成对应的省、市、区。若地址只输入某个区，系统需提示医生地址不完整，要填写完整地址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。</w:t>
      </w:r>
    </w:p>
    <w:p w14:paraId="1630A2D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9" w:leftChars="133" w:firstLine="545" w:firstLineChars="194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highlight w:val="none"/>
          <w:lang w:val="en-US" w:eastAsia="zh-CN" w:bidi="ar-SA"/>
        </w:rPr>
        <w:t>（二）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系统包含的</w:t>
      </w:r>
      <w:r>
        <w:rPr>
          <w:rFonts w:hint="eastAsia" w:ascii="宋体" w:hAnsi="宋体" w:eastAsia="宋体" w:cs="宋体"/>
          <w:b/>
          <w:sz w:val="28"/>
          <w:szCs w:val="28"/>
          <w:highlight w:val="none"/>
          <w:lang w:val="en-US" w:eastAsia="zh-CN"/>
        </w:rPr>
        <w:t>主要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疾病监测相关报告卡</w:t>
      </w:r>
    </w:p>
    <w:tbl>
      <w:tblPr>
        <w:tblStyle w:val="6"/>
        <w:tblW w:w="0" w:type="auto"/>
        <w:tblInd w:w="54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41"/>
        <w:gridCol w:w="2461"/>
        <w:gridCol w:w="4586"/>
      </w:tblGrid>
      <w:tr w14:paraId="12E86E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093C07B5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序号</w:t>
            </w:r>
          </w:p>
        </w:tc>
        <w:tc>
          <w:tcPr>
            <w:tcW w:w="2461" w:type="dxa"/>
            <w:vAlign w:val="center"/>
          </w:tcPr>
          <w:p w14:paraId="09B0304A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监测疾病类别</w:t>
            </w:r>
          </w:p>
        </w:tc>
        <w:tc>
          <w:tcPr>
            <w:tcW w:w="4586" w:type="dxa"/>
            <w:vAlign w:val="center"/>
          </w:tcPr>
          <w:p w14:paraId="3720A764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  <w:t>监测报告卡名称</w:t>
            </w:r>
          </w:p>
        </w:tc>
      </w:tr>
      <w:tr w14:paraId="099EA2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467E5883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</w:p>
        </w:tc>
        <w:tc>
          <w:tcPr>
            <w:tcW w:w="2461" w:type="dxa"/>
            <w:vAlign w:val="center"/>
          </w:tcPr>
          <w:p w14:paraId="29FDB607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传染病病例监测</w:t>
            </w:r>
          </w:p>
        </w:tc>
        <w:tc>
          <w:tcPr>
            <w:tcW w:w="4586" w:type="dxa"/>
            <w:vAlign w:val="center"/>
          </w:tcPr>
          <w:p w14:paraId="2DA1BEBE">
            <w:pPr>
              <w:keepNext w:val="0"/>
              <w:keepLines w:val="0"/>
              <w:pageBreakBefore w:val="0"/>
              <w:widowControl/>
              <w:tabs>
                <w:tab w:val="left" w:pos="0"/>
                <w:tab w:val="left" w:pos="152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中华人民共和国传染病报告卡</w:t>
            </w:r>
          </w:p>
        </w:tc>
      </w:tr>
      <w:tr w14:paraId="7EB830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3DBEA9F8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2</w:t>
            </w:r>
          </w:p>
        </w:tc>
        <w:tc>
          <w:tcPr>
            <w:tcW w:w="2461" w:type="dxa"/>
            <w:vAlign w:val="center"/>
          </w:tcPr>
          <w:p w14:paraId="5EB391B4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传染病病例监测</w:t>
            </w:r>
          </w:p>
        </w:tc>
        <w:tc>
          <w:tcPr>
            <w:tcW w:w="4586" w:type="dxa"/>
            <w:vAlign w:val="center"/>
          </w:tcPr>
          <w:p w14:paraId="33F6879F">
            <w:pPr>
              <w:keepNext w:val="0"/>
              <w:keepLines w:val="0"/>
              <w:pageBreakBefore w:val="0"/>
              <w:widowControl/>
              <w:tabs>
                <w:tab w:val="left" w:pos="0"/>
                <w:tab w:val="left" w:pos="152"/>
                <w:tab w:val="left" w:pos="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传染病报告卡艾滋病性病附卡</w:t>
            </w:r>
          </w:p>
        </w:tc>
      </w:tr>
      <w:tr w14:paraId="1D113D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18DA5723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3</w:t>
            </w:r>
          </w:p>
        </w:tc>
        <w:tc>
          <w:tcPr>
            <w:tcW w:w="2461" w:type="dxa"/>
            <w:vAlign w:val="center"/>
          </w:tcPr>
          <w:p w14:paraId="3F6B2C89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传染病病例监测</w:t>
            </w:r>
          </w:p>
        </w:tc>
        <w:tc>
          <w:tcPr>
            <w:tcW w:w="4586" w:type="dxa"/>
            <w:vAlign w:val="center"/>
          </w:tcPr>
          <w:p w14:paraId="79F73D3D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570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AFP病例报告卡</w:t>
            </w:r>
          </w:p>
        </w:tc>
      </w:tr>
      <w:tr w14:paraId="629F18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0E3EDE80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4</w:t>
            </w:r>
          </w:p>
        </w:tc>
        <w:tc>
          <w:tcPr>
            <w:tcW w:w="2461" w:type="dxa"/>
            <w:vAlign w:val="center"/>
          </w:tcPr>
          <w:p w14:paraId="57E37328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传染病病例监测</w:t>
            </w:r>
          </w:p>
        </w:tc>
        <w:tc>
          <w:tcPr>
            <w:tcW w:w="4586" w:type="dxa"/>
            <w:vAlign w:val="center"/>
          </w:tcPr>
          <w:p w14:paraId="6CD4C192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麻疹监测病例流行病学个案调查表</w:t>
            </w:r>
          </w:p>
        </w:tc>
      </w:tr>
      <w:tr w14:paraId="5EDF71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7BBBE23E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5</w:t>
            </w:r>
          </w:p>
        </w:tc>
        <w:tc>
          <w:tcPr>
            <w:tcW w:w="2461" w:type="dxa"/>
            <w:vAlign w:val="center"/>
          </w:tcPr>
          <w:p w14:paraId="124294EE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传染病病例监测</w:t>
            </w:r>
          </w:p>
        </w:tc>
        <w:tc>
          <w:tcPr>
            <w:tcW w:w="4586" w:type="dxa"/>
            <w:vAlign w:val="center"/>
          </w:tcPr>
          <w:p w14:paraId="25A9EF1F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手足口病个案调查表</w:t>
            </w:r>
          </w:p>
        </w:tc>
      </w:tr>
      <w:tr w14:paraId="707B77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73ECF018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6</w:t>
            </w:r>
          </w:p>
        </w:tc>
        <w:tc>
          <w:tcPr>
            <w:tcW w:w="2461" w:type="dxa"/>
            <w:vAlign w:val="center"/>
          </w:tcPr>
          <w:p w14:paraId="49DC1880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传染病病例监测</w:t>
            </w:r>
          </w:p>
        </w:tc>
        <w:tc>
          <w:tcPr>
            <w:tcW w:w="4586" w:type="dxa"/>
            <w:vAlign w:val="center"/>
          </w:tcPr>
          <w:p w14:paraId="6A5EC89F">
            <w:pPr>
              <w:pStyle w:val="9"/>
              <w:keepNext w:val="0"/>
              <w:keepLines w:val="0"/>
              <w:pageBreakBefore w:val="0"/>
              <w:widowControl/>
              <w:numPr>
                <w:ilvl w:val="255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手足口病例标本送检登记表</w:t>
            </w:r>
          </w:p>
        </w:tc>
      </w:tr>
      <w:tr w14:paraId="3DEFC3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3C49B6F0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7</w:t>
            </w:r>
          </w:p>
        </w:tc>
        <w:tc>
          <w:tcPr>
            <w:tcW w:w="2461" w:type="dxa"/>
            <w:vAlign w:val="center"/>
          </w:tcPr>
          <w:p w14:paraId="4E1E688C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传染病病例监测</w:t>
            </w:r>
          </w:p>
        </w:tc>
        <w:tc>
          <w:tcPr>
            <w:tcW w:w="4586" w:type="dxa"/>
            <w:vAlign w:val="center"/>
          </w:tcPr>
          <w:p w14:paraId="07E3AC93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产科医院新生儿卡介苗和首针乙肝疫苗月汇总表</w:t>
            </w:r>
          </w:p>
        </w:tc>
      </w:tr>
      <w:tr w14:paraId="2ACEDA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68612F92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8</w:t>
            </w:r>
          </w:p>
        </w:tc>
        <w:tc>
          <w:tcPr>
            <w:tcW w:w="2461" w:type="dxa"/>
            <w:vAlign w:val="center"/>
          </w:tcPr>
          <w:p w14:paraId="5B05AD94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传染病病例监测</w:t>
            </w:r>
          </w:p>
        </w:tc>
        <w:tc>
          <w:tcPr>
            <w:tcW w:w="4586" w:type="dxa"/>
            <w:vAlign w:val="center"/>
          </w:tcPr>
          <w:p w14:paraId="56C89F52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艾滋病病毒职业暴露个案登记表</w:t>
            </w:r>
          </w:p>
        </w:tc>
      </w:tr>
      <w:tr w14:paraId="07885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19EA8B91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9</w:t>
            </w:r>
          </w:p>
        </w:tc>
        <w:tc>
          <w:tcPr>
            <w:tcW w:w="2461" w:type="dxa"/>
            <w:vAlign w:val="center"/>
          </w:tcPr>
          <w:p w14:paraId="3DE6D4B2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传染病病例监测</w:t>
            </w:r>
          </w:p>
        </w:tc>
        <w:tc>
          <w:tcPr>
            <w:tcW w:w="4586" w:type="dxa"/>
            <w:vAlign w:val="center"/>
          </w:tcPr>
          <w:p w14:paraId="0EA95D94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医院麻疹标本送检单</w:t>
            </w:r>
          </w:p>
        </w:tc>
      </w:tr>
      <w:tr w14:paraId="4B9DFD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5DF99264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10</w:t>
            </w:r>
          </w:p>
        </w:tc>
        <w:tc>
          <w:tcPr>
            <w:tcW w:w="2461" w:type="dxa"/>
            <w:vAlign w:val="center"/>
          </w:tcPr>
          <w:p w14:paraId="1A3B5D9D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传染病病例监测</w:t>
            </w:r>
          </w:p>
        </w:tc>
        <w:tc>
          <w:tcPr>
            <w:tcW w:w="4586" w:type="dxa"/>
            <w:vAlign w:val="center"/>
          </w:tcPr>
          <w:p w14:paraId="1E1B30A8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医院流感样病例标本原始登记</w:t>
            </w:r>
          </w:p>
        </w:tc>
      </w:tr>
      <w:tr w14:paraId="3659A8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536485B0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11</w:t>
            </w:r>
          </w:p>
        </w:tc>
        <w:tc>
          <w:tcPr>
            <w:tcW w:w="2461" w:type="dxa"/>
            <w:vAlign w:val="center"/>
          </w:tcPr>
          <w:p w14:paraId="58CCC892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传染病病例监测</w:t>
            </w:r>
          </w:p>
        </w:tc>
        <w:tc>
          <w:tcPr>
            <w:tcW w:w="4586" w:type="dxa"/>
            <w:vAlign w:val="center"/>
          </w:tcPr>
          <w:p w14:paraId="5C67CA95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肺结核转诊单</w:t>
            </w:r>
          </w:p>
        </w:tc>
      </w:tr>
      <w:tr w14:paraId="224882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792F0274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1</w:t>
            </w: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</w:t>
            </w:r>
          </w:p>
        </w:tc>
        <w:tc>
          <w:tcPr>
            <w:tcW w:w="2461" w:type="dxa"/>
            <w:vAlign w:val="center"/>
          </w:tcPr>
          <w:p w14:paraId="419B0D2D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食源性疾病监测</w:t>
            </w:r>
          </w:p>
        </w:tc>
        <w:tc>
          <w:tcPr>
            <w:tcW w:w="4586" w:type="dxa"/>
            <w:vAlign w:val="center"/>
          </w:tcPr>
          <w:p w14:paraId="0AF56007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食源性疾病病例报告卡</w:t>
            </w:r>
          </w:p>
        </w:tc>
      </w:tr>
      <w:tr w14:paraId="39E120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74BF2000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13</w:t>
            </w:r>
          </w:p>
        </w:tc>
        <w:tc>
          <w:tcPr>
            <w:tcW w:w="2461" w:type="dxa"/>
            <w:vAlign w:val="center"/>
          </w:tcPr>
          <w:p w14:paraId="1EFB0678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b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食源性疾病监测</w:t>
            </w:r>
          </w:p>
        </w:tc>
        <w:tc>
          <w:tcPr>
            <w:tcW w:w="4586" w:type="dxa"/>
            <w:vAlign w:val="center"/>
          </w:tcPr>
          <w:p w14:paraId="2760E232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食源性疾病病例监测信息表</w:t>
            </w:r>
          </w:p>
        </w:tc>
      </w:tr>
      <w:tr w14:paraId="4F3056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57275B40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14</w:t>
            </w:r>
          </w:p>
        </w:tc>
        <w:tc>
          <w:tcPr>
            <w:tcW w:w="2461" w:type="dxa"/>
            <w:vAlign w:val="center"/>
          </w:tcPr>
          <w:p w14:paraId="3F42D86B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食源性疾病监测</w:t>
            </w:r>
          </w:p>
        </w:tc>
        <w:tc>
          <w:tcPr>
            <w:tcW w:w="4586" w:type="dxa"/>
            <w:vAlign w:val="center"/>
          </w:tcPr>
          <w:p w14:paraId="6137FBF9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食源性疾病病例监测生物标本检验结果</w:t>
            </w:r>
          </w:p>
        </w:tc>
      </w:tr>
      <w:tr w14:paraId="314FC1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37777665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15</w:t>
            </w:r>
          </w:p>
        </w:tc>
        <w:tc>
          <w:tcPr>
            <w:tcW w:w="2461" w:type="dxa"/>
            <w:vAlign w:val="center"/>
          </w:tcPr>
          <w:p w14:paraId="1B4BC782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死亡病例监测</w:t>
            </w:r>
          </w:p>
        </w:tc>
        <w:tc>
          <w:tcPr>
            <w:tcW w:w="4586" w:type="dxa"/>
            <w:vAlign w:val="center"/>
          </w:tcPr>
          <w:p w14:paraId="5ED11DB6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居民死亡医学证明（推断）书</w:t>
            </w:r>
          </w:p>
        </w:tc>
      </w:tr>
      <w:tr w14:paraId="2ED01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032F56D2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16</w:t>
            </w:r>
          </w:p>
        </w:tc>
        <w:tc>
          <w:tcPr>
            <w:tcW w:w="2461" w:type="dxa"/>
            <w:vAlign w:val="center"/>
          </w:tcPr>
          <w:p w14:paraId="7DD09208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死亡病例监测</w:t>
            </w:r>
          </w:p>
        </w:tc>
        <w:tc>
          <w:tcPr>
            <w:tcW w:w="4586" w:type="dxa"/>
            <w:vAlign w:val="center"/>
          </w:tcPr>
          <w:p w14:paraId="35293377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儿童死亡报告主卡</w:t>
            </w:r>
          </w:p>
        </w:tc>
      </w:tr>
      <w:tr w14:paraId="1B1EE2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6F5F235F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17</w:t>
            </w:r>
          </w:p>
        </w:tc>
        <w:tc>
          <w:tcPr>
            <w:tcW w:w="2461" w:type="dxa"/>
            <w:vAlign w:val="center"/>
          </w:tcPr>
          <w:p w14:paraId="01046774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死亡病例监测</w:t>
            </w:r>
          </w:p>
        </w:tc>
        <w:tc>
          <w:tcPr>
            <w:tcW w:w="4586" w:type="dxa"/>
            <w:vAlign w:val="center"/>
          </w:tcPr>
          <w:p w14:paraId="08205BF1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五岁以下儿童死亡登记副卡</w:t>
            </w:r>
          </w:p>
        </w:tc>
      </w:tr>
      <w:tr w14:paraId="2E0C40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335CAB93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18</w:t>
            </w:r>
          </w:p>
        </w:tc>
        <w:tc>
          <w:tcPr>
            <w:tcW w:w="2461" w:type="dxa"/>
            <w:vAlign w:val="center"/>
          </w:tcPr>
          <w:p w14:paraId="0A9478F6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死亡病例监测</w:t>
            </w:r>
          </w:p>
        </w:tc>
        <w:tc>
          <w:tcPr>
            <w:tcW w:w="4586" w:type="dxa"/>
            <w:vAlign w:val="center"/>
          </w:tcPr>
          <w:p w14:paraId="7C84B1A5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67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孕产妇死亡报告卡</w:t>
            </w:r>
          </w:p>
        </w:tc>
      </w:tr>
      <w:tr w14:paraId="766C00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01BB1DA9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19</w:t>
            </w:r>
          </w:p>
        </w:tc>
        <w:tc>
          <w:tcPr>
            <w:tcW w:w="2461" w:type="dxa"/>
            <w:vAlign w:val="center"/>
          </w:tcPr>
          <w:p w14:paraId="461F5E20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慢性非传染病监测</w:t>
            </w:r>
          </w:p>
        </w:tc>
        <w:tc>
          <w:tcPr>
            <w:tcW w:w="4586" w:type="dxa"/>
            <w:vAlign w:val="center"/>
          </w:tcPr>
          <w:p w14:paraId="3A764D5D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居民肿瘤病例报告卡</w:t>
            </w:r>
          </w:p>
        </w:tc>
      </w:tr>
      <w:tr w14:paraId="41B05E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41" w:type="dxa"/>
            <w:vAlign w:val="center"/>
          </w:tcPr>
          <w:p w14:paraId="4F1B9EE6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20</w:t>
            </w:r>
          </w:p>
        </w:tc>
        <w:tc>
          <w:tcPr>
            <w:tcW w:w="2461" w:type="dxa"/>
            <w:vAlign w:val="center"/>
          </w:tcPr>
          <w:p w14:paraId="05341DF4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慢性非传染病监测</w:t>
            </w:r>
          </w:p>
        </w:tc>
        <w:tc>
          <w:tcPr>
            <w:tcW w:w="4586" w:type="dxa"/>
            <w:vAlign w:val="center"/>
          </w:tcPr>
          <w:p w14:paraId="40F03DAB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心脑血管事件报告卡</w:t>
            </w:r>
          </w:p>
        </w:tc>
      </w:tr>
      <w:tr w14:paraId="685BF6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1" w:type="dxa"/>
            <w:vAlign w:val="center"/>
          </w:tcPr>
          <w:p w14:paraId="4E9793E1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21</w:t>
            </w:r>
          </w:p>
        </w:tc>
        <w:tc>
          <w:tcPr>
            <w:tcW w:w="2461" w:type="dxa"/>
            <w:vAlign w:val="center"/>
          </w:tcPr>
          <w:p w14:paraId="1394FFA2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慢性非传染病监测</w:t>
            </w:r>
          </w:p>
        </w:tc>
        <w:tc>
          <w:tcPr>
            <w:tcW w:w="4586" w:type="dxa"/>
            <w:vAlign w:val="center"/>
          </w:tcPr>
          <w:p w14:paraId="665DB4F1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高血压/糖尿病报告卡</w:t>
            </w:r>
          </w:p>
        </w:tc>
      </w:tr>
      <w:tr w14:paraId="51D27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1" w:type="dxa"/>
            <w:vAlign w:val="center"/>
          </w:tcPr>
          <w:p w14:paraId="277A0ED5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22</w:t>
            </w:r>
          </w:p>
        </w:tc>
        <w:tc>
          <w:tcPr>
            <w:tcW w:w="2461" w:type="dxa"/>
            <w:vAlign w:val="center"/>
          </w:tcPr>
          <w:p w14:paraId="076EA02D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中毒病例监测</w:t>
            </w:r>
          </w:p>
        </w:tc>
        <w:tc>
          <w:tcPr>
            <w:tcW w:w="4586" w:type="dxa"/>
            <w:vAlign w:val="center"/>
          </w:tcPr>
          <w:p w14:paraId="033F823E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农药中毒报告卡</w:t>
            </w:r>
          </w:p>
        </w:tc>
      </w:tr>
      <w:tr w14:paraId="6B3DC0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1" w:type="dxa"/>
            <w:vAlign w:val="center"/>
          </w:tcPr>
          <w:p w14:paraId="01F36D0E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23</w:t>
            </w:r>
          </w:p>
        </w:tc>
        <w:tc>
          <w:tcPr>
            <w:tcW w:w="2461" w:type="dxa"/>
            <w:vAlign w:val="center"/>
          </w:tcPr>
          <w:p w14:paraId="361B22A2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中毒病例监测</w:t>
            </w:r>
          </w:p>
        </w:tc>
        <w:tc>
          <w:tcPr>
            <w:tcW w:w="4586" w:type="dxa"/>
            <w:vAlign w:val="center"/>
          </w:tcPr>
          <w:p w14:paraId="70034956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中毒病例报告卡</w:t>
            </w:r>
          </w:p>
        </w:tc>
      </w:tr>
      <w:tr w14:paraId="411596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1" w:type="dxa"/>
            <w:vAlign w:val="center"/>
          </w:tcPr>
          <w:p w14:paraId="05FC3FE3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24</w:t>
            </w:r>
          </w:p>
        </w:tc>
        <w:tc>
          <w:tcPr>
            <w:tcW w:w="2461" w:type="dxa"/>
            <w:vAlign w:val="center"/>
          </w:tcPr>
          <w:p w14:paraId="36CE371F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中毒病例监测</w:t>
            </w:r>
          </w:p>
        </w:tc>
        <w:tc>
          <w:tcPr>
            <w:tcW w:w="4586" w:type="dxa"/>
            <w:vAlign w:val="center"/>
          </w:tcPr>
          <w:p w14:paraId="6771208D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突发中毒事件报告卡</w:t>
            </w:r>
          </w:p>
        </w:tc>
      </w:tr>
      <w:tr w14:paraId="260A03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1" w:type="dxa"/>
            <w:vAlign w:val="center"/>
          </w:tcPr>
          <w:p w14:paraId="756E7BE1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25</w:t>
            </w:r>
          </w:p>
        </w:tc>
        <w:tc>
          <w:tcPr>
            <w:tcW w:w="2461" w:type="dxa"/>
            <w:vAlign w:val="center"/>
          </w:tcPr>
          <w:p w14:paraId="6518C39D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其他疾病监测</w:t>
            </w:r>
          </w:p>
        </w:tc>
        <w:tc>
          <w:tcPr>
            <w:tcW w:w="4586" w:type="dxa"/>
            <w:vAlign w:val="center"/>
          </w:tcPr>
          <w:p w14:paraId="44F00429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重性精神疾病患者出院信息单</w:t>
            </w:r>
          </w:p>
        </w:tc>
      </w:tr>
      <w:tr w14:paraId="3ADE3D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1" w:type="dxa"/>
            <w:vAlign w:val="center"/>
          </w:tcPr>
          <w:p w14:paraId="29E7F90E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26</w:t>
            </w:r>
          </w:p>
        </w:tc>
        <w:tc>
          <w:tcPr>
            <w:tcW w:w="2461" w:type="dxa"/>
            <w:vAlign w:val="center"/>
          </w:tcPr>
          <w:p w14:paraId="4B4BD025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其他疾病监测</w:t>
            </w:r>
          </w:p>
        </w:tc>
        <w:tc>
          <w:tcPr>
            <w:tcW w:w="4586" w:type="dxa"/>
            <w:vAlign w:val="center"/>
          </w:tcPr>
          <w:p w14:paraId="31D20420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突发公共卫生事件报告卡</w:t>
            </w:r>
          </w:p>
        </w:tc>
      </w:tr>
      <w:tr w14:paraId="6E3713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1" w:type="dxa"/>
            <w:vAlign w:val="center"/>
          </w:tcPr>
          <w:p w14:paraId="3AB3FB39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27</w:t>
            </w:r>
          </w:p>
        </w:tc>
        <w:tc>
          <w:tcPr>
            <w:tcW w:w="2461" w:type="dxa"/>
            <w:vAlign w:val="center"/>
          </w:tcPr>
          <w:p w14:paraId="6228F759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其他疾病监测</w:t>
            </w:r>
          </w:p>
        </w:tc>
        <w:tc>
          <w:tcPr>
            <w:tcW w:w="4586" w:type="dxa"/>
            <w:vAlign w:val="center"/>
          </w:tcPr>
          <w:p w14:paraId="4B0E2BCF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疑似职业病报告卡</w:t>
            </w:r>
          </w:p>
        </w:tc>
      </w:tr>
      <w:tr w14:paraId="3000AD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1" w:type="dxa"/>
            <w:vAlign w:val="center"/>
          </w:tcPr>
          <w:p w14:paraId="34C08A31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28</w:t>
            </w:r>
          </w:p>
        </w:tc>
        <w:tc>
          <w:tcPr>
            <w:tcW w:w="2461" w:type="dxa"/>
            <w:vAlign w:val="center"/>
          </w:tcPr>
          <w:p w14:paraId="7BD2C0DE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其他疾病监测</w:t>
            </w:r>
          </w:p>
        </w:tc>
        <w:tc>
          <w:tcPr>
            <w:tcW w:w="4586" w:type="dxa"/>
            <w:vAlign w:val="center"/>
          </w:tcPr>
          <w:p w14:paraId="47828B44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  <w:t>职业暴露个案登记表</w:t>
            </w:r>
          </w:p>
        </w:tc>
      </w:tr>
      <w:tr w14:paraId="169507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1" w:type="dxa"/>
            <w:vAlign w:val="center"/>
          </w:tcPr>
          <w:p w14:paraId="246BCD31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29</w:t>
            </w:r>
          </w:p>
        </w:tc>
        <w:tc>
          <w:tcPr>
            <w:tcW w:w="2461" w:type="dxa"/>
            <w:shd w:val="clear" w:color="auto" w:fill="auto"/>
            <w:vAlign w:val="center"/>
          </w:tcPr>
          <w:p w14:paraId="0B089553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"/>
                <w:sz w:val="28"/>
                <w:szCs w:val="28"/>
                <w:highlight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其他疾病监测</w:t>
            </w:r>
          </w:p>
        </w:tc>
        <w:tc>
          <w:tcPr>
            <w:tcW w:w="4586" w:type="dxa"/>
            <w:vAlign w:val="center"/>
          </w:tcPr>
          <w:p w14:paraId="29D25479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textAlignment w:val="auto"/>
              <w:rPr>
                <w:rFonts w:hint="eastAsia" w:ascii="宋体" w:hAnsi="宋体" w:eastAsia="宋体" w:cs="宋体"/>
                <w:kern w:val="28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伤害监测及伤害报告卡</w:t>
            </w:r>
          </w:p>
        </w:tc>
      </w:tr>
      <w:tr w14:paraId="6F961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741" w:type="dxa"/>
            <w:vAlign w:val="center"/>
          </w:tcPr>
          <w:p w14:paraId="56EEA727">
            <w:pPr>
              <w:keepNext w:val="0"/>
              <w:keepLines w:val="0"/>
              <w:pageBreakBefore w:val="0"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  <w:lang w:val="en-US" w:eastAsia="zh-CN"/>
              </w:rPr>
              <w:t>30</w:t>
            </w:r>
          </w:p>
        </w:tc>
        <w:tc>
          <w:tcPr>
            <w:tcW w:w="7047" w:type="dxa"/>
            <w:gridSpan w:val="2"/>
            <w:vAlign w:val="center"/>
          </w:tcPr>
          <w:p w14:paraId="51813513">
            <w:pPr>
              <w:keepNext w:val="0"/>
              <w:keepLines w:val="0"/>
              <w:pageBreakBefore w:val="0"/>
              <w:widowControl/>
              <w:tabs>
                <w:tab w:val="left" w:pos="11"/>
                <w:tab w:val="left" w:pos="152"/>
                <w:tab w:val="left" w:pos="294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textAlignment w:val="auto"/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highlight w:val="none"/>
              </w:rPr>
              <w:t>其他相关报告卡</w:t>
            </w:r>
          </w:p>
        </w:tc>
      </w:tr>
    </w:tbl>
    <w:p w14:paraId="25C30569">
      <w:pPr>
        <w:keepNext w:val="0"/>
        <w:keepLines w:val="0"/>
        <w:pageBreakBefore w:val="0"/>
        <w:widowControl/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480"/>
        <w:textAlignment w:val="auto"/>
        <w:rPr>
          <w:rFonts w:hint="eastAsia" w:ascii="宋体" w:hAnsi="宋体" w:eastAsia="宋体" w:cs="宋体"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sz w:val="28"/>
          <w:szCs w:val="28"/>
          <w:highlight w:val="none"/>
        </w:rPr>
        <w:t xml:space="preserve">                                                      </w:t>
      </w:r>
    </w:p>
    <w:p w14:paraId="583228F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2" w:firstLineChars="200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highlight w:val="none"/>
          <w:lang w:val="en-US" w:eastAsia="zh-CN" w:bidi="ar-SA"/>
        </w:rPr>
        <w:t>（三）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预警功能</w:t>
      </w:r>
    </w:p>
    <w:p w14:paraId="19C41EF5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1.可根据诊断、影像、检验、病理、病历等信息对住院、门诊、体检等病人进行传染病、慢病、死亡、食源性疾病、农药中毒等智能预警。</w:t>
      </w:r>
    </w:p>
    <w:p w14:paraId="2A3C8E21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2.可根据诊断、影像、检验、病理、病历等信息进行联合或单项预警。</w:t>
      </w:r>
    </w:p>
    <w:p w14:paraId="5999C346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3.可根据病人、诊断复诊进行智能排除预警。</w:t>
      </w:r>
    </w:p>
    <w:p w14:paraId="1832DF2E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4.可根据历史上报数据，实现智能排除预警。</w:t>
      </w:r>
    </w:p>
    <w:p w14:paraId="3ADA5365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5.可根据病人住院号/门诊号、身份证号、姓名、性别、出生日期等信息，实现智能排除预警。</w:t>
      </w:r>
    </w:p>
    <w:p w14:paraId="725DBAAF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6.可根据传染病急、慢性设置相应病程周期，在病程周期内可实现智能排除预警，病程周期可以单病种自由配置。</w:t>
      </w:r>
    </w:p>
    <w:p w14:paraId="76312CD5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7.针对肿瘤、心脑血管等慢病可根据疾病设置不同预警周期，实现智能排除预警。</w:t>
      </w:r>
    </w:p>
    <w:p w14:paraId="2A23C3BB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8.可根据身份证号、姓名+出生日期+性别、住院号、门诊号等信息，提示病人的历史报告记录，并在报卡前提示医生，避免重复报卡。</w:t>
      </w:r>
    </w:p>
    <w:p w14:paraId="093D81F7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9.可实现诊断、影像、检验、病理、病历等预警条件自由配置。</w:t>
      </w:r>
    </w:p>
    <w:p w14:paraId="3E44B99D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10.可分院区、分科室、分时段集中呈现预警列表。</w:t>
      </w:r>
    </w:p>
    <w:p w14:paraId="11AF8859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11.可实现分权限呈现预警列表，管理科室可查看全院科室列表，临床医生只能查看有权限的科室列表，查看权限可配置。</w:t>
      </w:r>
    </w:p>
    <w:p w14:paraId="422B0E4D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12.可实现待处理、已处理、已确认和全部病例分状态呈现。</w:t>
      </w:r>
    </w:p>
    <w:p w14:paraId="50775A89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13.可实现在一个界面中查阅病人基本信息、诊断、影像、检验、病理、病历等信息，辅助相关人员快速诊断。</w:t>
      </w:r>
    </w:p>
    <w:p w14:paraId="03A84096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14.可实现病人异常指标高亮显示。</w:t>
      </w:r>
    </w:p>
    <w:p w14:paraId="7E55432A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15.可实现自动根据预警类型弹出对应的上报卡。</w:t>
      </w:r>
    </w:p>
    <w:p w14:paraId="21F4D96B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16.可实现对病例操作记录（操作时间、操作人和操作类型），病人历史上报记录进行查询。</w:t>
      </w:r>
    </w:p>
    <w:p w14:paraId="769DD2D9">
      <w:pPr>
        <w:pStyle w:val="2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17.可实现对预警病例进行干预，干预默认发送给病人主治医生，可实现自由添加医生，可添加附件。可实现临床医生操作记录，已报卡、未报卡、已处理和未处理的显示。公卫科有临床医生操作记录的统计和导出功能。</w:t>
      </w:r>
    </w:p>
    <w:p w14:paraId="51C5085D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18.可实现双击病人弹出相关病例。</w:t>
      </w:r>
    </w:p>
    <w:p w14:paraId="208375F5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19.可实现将病人添加到首页关注列表中。</w:t>
      </w:r>
    </w:p>
    <w:p w14:paraId="535149C7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20.可实现对预警病例标记漏报和迟报，便于统计漏报率和迟报率。</w:t>
      </w:r>
    </w:p>
    <w:p w14:paraId="15F67527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21.HIV等扩大监测预警功能：医生在下性病初诊诊断（梅毒、淋病、尖锐湿疣、生殖器疱疹、生殖道沙眼衣原体感染等诊断）时，跳出医生开梅毒及HIV相关检查的提醒。重点科室病人开具采血医嘱时，跳出提示医生询问并开具HIV相关检查的提醒。</w:t>
      </w:r>
    </w:p>
    <w:p w14:paraId="6AFA74A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279" w:leftChars="133" w:firstLine="545" w:firstLineChars="194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kern w:val="2"/>
          <w:sz w:val="28"/>
          <w:szCs w:val="28"/>
          <w:highlight w:val="none"/>
          <w:lang w:val="en-US" w:eastAsia="zh-CN" w:bidi="ar-SA"/>
        </w:rPr>
        <w:t>（四）</w:t>
      </w: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患者信息查询等</w:t>
      </w:r>
    </w:p>
    <w:p w14:paraId="7E1944CE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1.可实现在所有界面根据住院号/门诊号、姓名等搜索患者的病历信息，并查询。</w:t>
      </w:r>
    </w:p>
    <w:p w14:paraId="77D4887D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2.可集中呈现患者基本信息，包括姓名、年龄、性别、科室、床号、住院号、入院时间、出院时间、入院诊断和主治医生等。</w:t>
      </w:r>
    </w:p>
    <w:p w14:paraId="2DA9EECC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3.可实现查询患者所有的预警记录，预警记录中包括处理状态、预警科室、预警时间、预警病种、操作人、操作时间和操作备注等信息。</w:t>
      </w:r>
    </w:p>
    <w:p w14:paraId="263926B0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4.可实现查询患者所有病历病程，并支持关键字在病历病程中高亮显示，且关键字自由配置。</w:t>
      </w:r>
    </w:p>
    <w:p w14:paraId="573A2105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5.可实现查询患者的影像检查报告，相关异常结果进行高亮显示。</w:t>
      </w:r>
    </w:p>
    <w:p w14:paraId="120B1EB2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6.可实现查询患者所有的检验结果，相关异常结果进行高亮显示。</w:t>
      </w:r>
    </w:p>
    <w:p w14:paraId="390A05AE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7.可实现查询结果导出。</w:t>
      </w:r>
    </w:p>
    <w:p w14:paraId="20F81399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8.可实现查询患者所有报告卡记录，且可以通过病人唯一编号、身份证号、姓名等信息关联历史报卡。</w:t>
      </w:r>
    </w:p>
    <w:p w14:paraId="0C5A7307">
      <w:pPr>
        <w:keepNext w:val="0"/>
        <w:keepLines w:val="0"/>
        <w:pageBreakBefore w:val="0"/>
        <w:widowControl/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（五）报卡管理</w:t>
      </w:r>
    </w:p>
    <w:p w14:paraId="0D352979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1.可实现报告卡数据流程化管理，分状态显示（待审核、退卡、已审核、作废等）。</w:t>
      </w:r>
    </w:p>
    <w:p w14:paraId="25518299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2.可实现退卡状态下显示相关退卡原因。</w:t>
      </w:r>
    </w:p>
    <w:p w14:paraId="523C89F1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3.可实现操作记录有迹可循（记录操作日志，包括操作、操作人，操作时间和备注）。</w:t>
      </w:r>
    </w:p>
    <w:p w14:paraId="2789F50D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4.可实现按日期、病区、科室、姓名、住院号/门诊号、身份证号码及病种等搜索上报卡。</w:t>
      </w:r>
    </w:p>
    <w:p w14:paraId="476E94C6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5.可实现审核时重复报卡，迟报等提示功能。</w:t>
      </w:r>
    </w:p>
    <w:p w14:paraId="36F9FCDA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6.可实现管理员能修改任意状态下卡片内容，非管理员只能修改待审核及退卡状态下的卡片内容。</w:t>
      </w:r>
    </w:p>
    <w:p w14:paraId="56B19CD5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7.可实现所有卡片打印、导出等相关功能。</w:t>
      </w:r>
    </w:p>
    <w:p w14:paraId="24A36F20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8.可实现打印格式与国家发布的标准格式一致。</w:t>
      </w:r>
    </w:p>
    <w:p w14:paraId="5BEDA5D7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9.可实现按照医院要求定制填报内容和打印格式。</w:t>
      </w:r>
    </w:p>
    <w:p w14:paraId="150C250B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10.可实现相关验证功能。</w:t>
      </w:r>
    </w:p>
    <w:p w14:paraId="2B34309F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（1）病人身份证号码必须通过身份证校验</w:t>
      </w:r>
    </w:p>
    <w:p w14:paraId="64A9134F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（2）病人出生日期必须和身份证上的出生日期一致</w:t>
      </w:r>
    </w:p>
    <w:p w14:paraId="799D9841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（3）病人现住址必须符合国家行政地区分级(省、市、区（县）、乡镇、村（街道），提供各级下拉框供用户选择</w:t>
      </w:r>
    </w:p>
    <w:p w14:paraId="4CB790D6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 xml:space="preserve">（4）年龄和人群分类必须进行适宜的匹配、效验。 </w:t>
      </w:r>
    </w:p>
    <w:p w14:paraId="691B41AD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 xml:space="preserve">（5）14岁及以下必须填写监护人姓名和电话。 </w:t>
      </w:r>
    </w:p>
    <w:p w14:paraId="09BCCDF9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（6）发病日期填写不能大于现填卡日期，发病日期不能大于死亡日期，发病日期不能大于诊断日期，诊断日期不能大于填卡时间，诊断日期不能大于死亡时间，死亡时间不能大于填卡时间。</w:t>
      </w:r>
    </w:p>
    <w:p w14:paraId="2EBDE40E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（7）当疾病名称选择为“艾滋病”、“HIV”、“淋病”、“乙肝”、“梅毒”、“丙肝”、“手足口病”等需要填写附卡的疾病时，要求必须填写相应的附卡。</w:t>
      </w:r>
    </w:p>
    <w:p w14:paraId="6BA97727">
      <w:pPr>
        <w:keepNext w:val="0"/>
        <w:keepLines w:val="0"/>
        <w:pageBreakBefore w:val="0"/>
        <w:widowControl/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（六）网络直报等</w:t>
      </w:r>
    </w:p>
    <w:p w14:paraId="6BD5BA99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1.在内外网满足的条件下，死亡监测报告卡可以单张对接、填报至中国疾病预防控制信息系统等；在内外网不能同时满足的条件下，死亡报告卡可以导出XML文件，单张填报中国疾病预防信息系统等。</w:t>
      </w:r>
    </w:p>
    <w:p w14:paraId="60B7E80D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2.可实现慢性病监测数据自动生成相关文档并批量导入对应监测平台（如肿瘤，心脑血管等要求开展监测的慢性病）。并可根据监测要求变化调整导入文档和方式等。</w:t>
      </w:r>
    </w:p>
    <w:p w14:paraId="6C35BD05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3.在本地区疾控中心开放数据接口前提下，可实现医院报告网络直报数据自动推送，与中国疾病预防控制信息系统进行数据对接交换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。</w:t>
      </w:r>
    </w:p>
    <w:p w14:paraId="35E9F1D0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4.在本地区疾控中心、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相关质控中心等开放数据接口前提下，可实现医院公共卫生监测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相关数据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与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其相关数据平台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进行数据对接交换。</w:t>
      </w:r>
    </w:p>
    <w:p w14:paraId="639BF13D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5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.可查阅报告卡内容；可对上报数据进行标识，避免重复上报；报告数据在网络直报时，可实现自动提示（如提醒诊断时间超过时限的报告数据等）。</w:t>
      </w:r>
    </w:p>
    <w:p w14:paraId="3F0639BF">
      <w:pPr>
        <w:keepNext w:val="0"/>
        <w:keepLines w:val="0"/>
        <w:pageBreakBefore w:val="0"/>
        <w:widowControl/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（七）监测统计分析</w:t>
      </w:r>
    </w:p>
    <w:p w14:paraId="5065753F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1.可按条件统计、自动生成所有报告卡（如传染病、死因、重点慢性病、中毒、食源性疾病病例等）汇总登记表。</w:t>
      </w:r>
    </w:p>
    <w:p w14:paraId="62695035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2.可自动生成出入院日志、门诊日志，自动标识是否为传染病以及是否已上报；并自动生成传染病迟报漏报患者基本信息登记表和统计表。</w:t>
      </w:r>
    </w:p>
    <w:p w14:paraId="09C8AEE0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3.可按要求自动生成传染病检验科、影像科等阳性反馈登记表。</w:t>
      </w:r>
    </w:p>
    <w:p w14:paraId="6F68296E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4.可按要求自动生成发热患者、腹泻患者日志。</w:t>
      </w:r>
    </w:p>
    <w:p w14:paraId="33327646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5.可按要求自动抓取生成流感样病例、发热伴皮疹、发热伴出血等哨点监测统计表；并可实现按医院需求定制其他相关监测报表。</w:t>
      </w:r>
    </w:p>
    <w:p w14:paraId="2CDC93F8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6.可实现报表数据穿透（即点击后可追踪查看数据明细）。</w:t>
      </w:r>
    </w:p>
    <w:p w14:paraId="0A998BC8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7.可实现自动生成监测数据常见统计图表（饼状图、柱状图、趋势图等），可实现所有报表和统计图表直接打印及多种格式（如Excel、HTML、图片）导出。</w:t>
      </w:r>
    </w:p>
    <w:p w14:paraId="26382B12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8. 可实现HIV、丙肝、梅毒等监测传染病按照监测要求导出患者信息和生成统计报表功能。</w:t>
      </w:r>
    </w:p>
    <w:p w14:paraId="1EA0E3DF">
      <w:pPr>
        <w:keepNext w:val="0"/>
        <w:keepLines w:val="0"/>
        <w:pageBreakBefore w:val="0"/>
        <w:widowControl/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（八）通知管理和移动管理等</w:t>
      </w:r>
    </w:p>
    <w:p w14:paraId="274F7C93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1.可实现发送通知（如预警信息、待办事项等）功能，接收对象可以按科室、病区、医生进行自由添加，可查看、统计读取记录。</w:t>
      </w:r>
    </w:p>
    <w:p w14:paraId="25349B62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2.可实现对医生处理病例过程进行干预，并可查阅干预详细内容和进行回复等操作。</w:t>
      </w:r>
    </w:p>
    <w:p w14:paraId="29798239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3.可实现实时推送短信；可实现在医院开放短信、企业微信等平台接口前提下，接入院级信息发送平台。</w:t>
      </w:r>
    </w:p>
    <w:p w14:paraId="4E92D8DB">
      <w:pPr>
        <w:keepNext w:val="0"/>
        <w:keepLines w:val="0"/>
        <w:pageBreakBefore w:val="0"/>
        <w:widowControl/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left"/>
        <w:textAlignment w:val="auto"/>
        <w:rPr>
          <w:rFonts w:hint="eastAsia" w:ascii="宋体" w:hAnsi="宋体" w:eastAsia="宋体" w:cs="宋体"/>
          <w:b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/>
          <w:sz w:val="28"/>
          <w:szCs w:val="28"/>
          <w:highlight w:val="none"/>
        </w:rPr>
        <w:t>（九）培训知识库和考试系统</w:t>
      </w:r>
    </w:p>
    <w:p w14:paraId="2ADFC5C8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1.可实现常见形式（如PPT、word、PDF、视频等）相关资料上传到系统中；并可按文件类型、资料类别进行分类管理。</w:t>
      </w:r>
    </w:p>
    <w:p w14:paraId="5E35235C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2.可实现知识库中相关资料自由下载、直接查阅并对下载、查阅情况进行统计。</w:t>
      </w:r>
    </w:p>
    <w:p w14:paraId="02573271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3.具有考试系统，自带相关题库并可导入自定义题库。</w:t>
      </w:r>
    </w:p>
    <w:p w14:paraId="2DDD52BD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4.考试系统可自定义每次考试范围、考题要求、截止时间等设置。</w:t>
      </w:r>
    </w:p>
    <w:p w14:paraId="194CF368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5.考试系统可根据需求随机抽取考题、自动评分并判断是否合格。</w:t>
      </w:r>
    </w:p>
    <w:p w14:paraId="5A5F52B3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</w:rPr>
        <w:t>6.考试系统可按需求分科室等统计考试人数、考试合格人数等。</w:t>
      </w:r>
    </w:p>
    <w:p w14:paraId="51699CF8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highlight w:val="none"/>
          <w:lang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highlight w:val="none"/>
          <w:lang w:val="en-US" w:eastAsia="zh-CN"/>
        </w:rPr>
        <w:t>二、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highlight w:val="none"/>
          <w:lang w:eastAsia="zh-CN"/>
        </w:rPr>
        <w:t>硬件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highlight w:val="none"/>
          <w:lang w:val="en-US" w:eastAsia="zh-CN"/>
        </w:rPr>
        <w:t>等</w:t>
      </w: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highlight w:val="none"/>
          <w:lang w:eastAsia="zh-CN"/>
        </w:rPr>
        <w:t>需求</w:t>
      </w:r>
    </w:p>
    <w:p w14:paraId="5A8233E8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根据医院项目的需求，提供其对应的产品设计、研发、实施等流程所需要的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计算资源。硬件设备免费保修期3年，保修期自验收通过之日起计算，保修期内对所供产品实行三包（包修、包换、包退）。</w:t>
      </w:r>
    </w:p>
    <w:p w14:paraId="31BBF547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软件免费运维期3年。</w:t>
      </w:r>
    </w:p>
    <w:p w14:paraId="0300DB46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highlight w:val="none"/>
          <w:lang w:val="en-US" w:eastAsia="zh-CN"/>
        </w:rPr>
        <w:t>三、信息安全要求</w:t>
      </w:r>
    </w:p>
    <w:p w14:paraId="0BF4120A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1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系统漏洞扫描，渗透测试问题修复（2小时内响应，48小时内修复完成）</w:t>
      </w:r>
    </w:p>
    <w:p w14:paraId="2CCDFACB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2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.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成立安全管理团队</w:t>
      </w:r>
    </w:p>
    <w:p w14:paraId="751B17CF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建立「7×24小时安全值班组」（含开发/运维/安全三方联动）</w:t>
      </w:r>
    </w:p>
    <w:p w14:paraId="2B6D46C7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实施「1小时响应会议」机制（漏洞确认后立即启动跨部门会议）</w:t>
      </w:r>
    </w:p>
    <w:p w14:paraId="4424AC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leftChars="0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</w:pPr>
      <w:r>
        <w:rPr>
          <w:rFonts w:hint="eastAsia" w:ascii="宋体" w:hAnsi="宋体" w:eastAsia="宋体" w:cs="宋体"/>
          <w:b w:val="0"/>
          <w:bCs/>
          <w:kern w:val="2"/>
          <w:sz w:val="28"/>
          <w:szCs w:val="28"/>
          <w:highlight w:val="none"/>
          <w:lang w:val="en-US" w:eastAsia="zh-CN" w:bidi="ar-SA"/>
        </w:rPr>
        <w:t>3.</w:t>
      </w: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eastAsia="zh-CN"/>
        </w:rPr>
        <w:t>按照《中华人民共和国网络安全法》、《中华人民共和国保密法》、《信息安全等级保护管理办法》等国家法律法规及相关政策的要求采取有效地措施，接受医院信息安全管理，协助医院做好信息安全工作，及时处置安全风险。</w:t>
      </w:r>
    </w:p>
    <w:p w14:paraId="2920780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4. 为保证系统数据稳定性及安全性，在系统上线前需通过医院组织的安全评估，合格后方可正式上线运行。</w:t>
      </w:r>
    </w:p>
    <w:p w14:paraId="032BF2DD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643" w:firstLineChars="200"/>
        <w:textAlignment w:val="auto"/>
        <w:rPr>
          <w:rFonts w:hint="default" w:ascii="方正楷体_GBK" w:hAnsi="方正楷体_GBK" w:eastAsia="方正楷体_GBK" w:cs="方正楷体_GBK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highlight w:val="none"/>
          <w:lang w:val="en-US" w:eastAsia="zh-CN"/>
        </w:rPr>
        <w:t>四、驻场人员要求</w:t>
      </w:r>
    </w:p>
    <w:p w14:paraId="7ADD3FA3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经按照、培训、稳定运行后无需驻场人员；需安排专人对接医院相关问题和需求；如遇问题联系后，常规问题12小时内响应，紧急问题及时响应。</w:t>
      </w:r>
    </w:p>
    <w:p w14:paraId="49DB6747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643" w:firstLineChars="200"/>
        <w:textAlignment w:val="auto"/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highlight w:val="none"/>
          <w:lang w:val="en-US" w:eastAsia="zh-CN"/>
        </w:rPr>
      </w:pPr>
      <w:r>
        <w:rPr>
          <w:rFonts w:hint="eastAsia" w:ascii="方正楷体_GBK" w:hAnsi="方正楷体_GBK" w:eastAsia="方正楷体_GBK" w:cs="方正楷体_GBK"/>
          <w:b/>
          <w:bCs w:val="0"/>
          <w:sz w:val="32"/>
          <w:szCs w:val="32"/>
          <w:highlight w:val="none"/>
          <w:lang w:val="en-US" w:eastAsia="zh-CN"/>
        </w:rPr>
        <w:t>五、系统对接服务要求</w:t>
      </w:r>
    </w:p>
    <w:p w14:paraId="7F690142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t>需按要求结合实际，对接医院现有信息系统以及相关数据平台。</w:t>
      </w:r>
    </w:p>
    <w:p w14:paraId="723F7F4A">
      <w:pP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  <w:br w:type="page"/>
      </w:r>
    </w:p>
    <w:p w14:paraId="29033227">
      <w:pPr>
        <w:widowControl/>
        <w:spacing w:after="120" w:line="312" w:lineRule="auto"/>
        <w:ind w:firstLine="480" w:firstLineChars="200"/>
        <w:jc w:val="left"/>
        <w:rPr>
          <w:rFonts w:ascii="Calibri" w:hAnsi="Calibri" w:eastAsia="宋体" w:cs="Times New Roman"/>
          <w:smallCaps/>
          <w:sz w:val="24"/>
        </w:rPr>
      </w:pPr>
    </w:p>
    <w:p w14:paraId="6038095A">
      <w:pPr>
        <w:widowControl/>
        <w:spacing w:after="120" w:line="312" w:lineRule="auto"/>
        <w:ind w:firstLine="480" w:firstLineChars="200"/>
        <w:jc w:val="left"/>
        <w:rPr>
          <w:rFonts w:ascii="Calibri" w:hAnsi="Calibri" w:eastAsia="宋体" w:cs="Times New Roman"/>
          <w:smallCaps/>
          <w:sz w:val="24"/>
        </w:rPr>
      </w:pPr>
    </w:p>
    <w:tbl>
      <w:tblPr>
        <w:tblStyle w:val="6"/>
        <w:tblW w:w="919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068"/>
        <w:gridCol w:w="6127"/>
      </w:tblGrid>
      <w:tr w14:paraId="6321A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919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0F19F">
            <w:pPr>
              <w:spacing w:after="156" w:afterLines="50"/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4"/>
                <w:lang w:bidi="ar"/>
              </w:rPr>
              <w:t>厂商基本信息表</w:t>
            </w:r>
          </w:p>
        </w:tc>
      </w:tr>
      <w:tr w14:paraId="1C2AD4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37807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产品相关产业发展情况（请详述全国产业情况及本公司发展情况）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AB7D0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文字描述</w:t>
            </w:r>
          </w:p>
          <w:p w14:paraId="1DD8169E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1.全国情况：</w:t>
            </w:r>
          </w:p>
          <w:p w14:paraId="67F2CEA9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2.本公司情况：</w:t>
            </w:r>
          </w:p>
        </w:tc>
      </w:tr>
      <w:tr w14:paraId="07295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28D61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产品市场供给情况（简述本公司年供给情况，且另附佐证材料）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1BD90D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文字描述</w:t>
            </w:r>
          </w:p>
        </w:tc>
      </w:tr>
      <w:tr w14:paraId="2119EB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29B70F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同类产品成交情况（进三年的成交情况，且另附佐证材料）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0F974E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文字描述</w:t>
            </w:r>
          </w:p>
        </w:tc>
      </w:tr>
      <w:tr w14:paraId="70AD8DF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3" w:hRule="atLeast"/>
          <w:jc w:val="center"/>
        </w:trPr>
        <w:tc>
          <w:tcPr>
            <w:tcW w:w="30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020A07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公司企业类型（另附佐证材料）</w:t>
            </w:r>
          </w:p>
        </w:tc>
        <w:tc>
          <w:tcPr>
            <w:tcW w:w="61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E624B1">
            <w:pPr>
              <w:spacing w:after="156" w:afterLines="50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大型企业（）中型企业（）小型企业（）微型企业（）监狱企业（）其他</w:t>
            </w:r>
            <w:r>
              <w:rPr>
                <w:rFonts w:ascii="Calibri" w:hAnsi="Calibri" w:eastAsia="宋体" w:cs="Times New Roman"/>
                <w:sz w:val="24"/>
              </w:rPr>
              <w:t>注：“是”打√</w:t>
            </w:r>
          </w:p>
        </w:tc>
      </w:tr>
    </w:tbl>
    <w:p w14:paraId="633C99ED">
      <w:pPr>
        <w:spacing w:line="360" w:lineRule="auto"/>
        <w:jc w:val="right"/>
        <w:rPr>
          <w:rFonts w:ascii="仿宋_GB2312" w:hAnsi="仿宋_GB2312" w:eastAsia="仿宋_GB2312" w:cs="Times New Roman"/>
          <w:b/>
          <w:sz w:val="24"/>
        </w:rPr>
      </w:pPr>
    </w:p>
    <w:p w14:paraId="5FCA4A3B">
      <w:pPr>
        <w:spacing w:line="360" w:lineRule="auto"/>
        <w:jc w:val="right"/>
        <w:rPr>
          <w:rFonts w:ascii="仿宋_GB2312" w:hAnsi="仿宋_GB2312" w:eastAsia="仿宋_GB2312" w:cs="Times New Roman"/>
          <w:b/>
          <w:sz w:val="24"/>
        </w:rPr>
      </w:pPr>
      <w:r>
        <w:rPr>
          <w:rFonts w:hint="eastAsia" w:ascii="仿宋_GB2312" w:hAnsi="仿宋_GB2312" w:eastAsia="仿宋_GB2312" w:cs="Times New Roman"/>
          <w:b/>
          <w:sz w:val="24"/>
        </w:rPr>
        <w:t>厂家（商）：盖公章</w:t>
      </w:r>
    </w:p>
    <w:p w14:paraId="33E54636">
      <w:pPr>
        <w:spacing w:after="156" w:afterLines="50"/>
        <w:jc w:val="right"/>
        <w:rPr>
          <w:rFonts w:ascii="Calibri" w:hAnsi="Calibri" w:eastAsia="宋体" w:cs="Times New Roman"/>
          <w:sz w:val="24"/>
        </w:rPr>
      </w:pPr>
      <w:r>
        <w:rPr>
          <w:rFonts w:hint="eastAsia" w:ascii="仿宋_GB2312" w:hAnsi="仿宋_GB2312" w:eastAsia="仿宋_GB2312" w:cs="Times New Roman"/>
          <w:b/>
          <w:sz w:val="28"/>
        </w:rPr>
        <w:t>日期：   年   月   日</w:t>
      </w:r>
    </w:p>
    <w:p w14:paraId="78474A2E">
      <w:pPr>
        <w:rPr>
          <w:rFonts w:ascii="Calibri" w:hAnsi="Calibri" w:eastAsia="宋体" w:cs="Times New Roman"/>
          <w:sz w:val="24"/>
        </w:rPr>
      </w:pPr>
    </w:p>
    <w:p w14:paraId="5026F4F6">
      <w:pPr>
        <w:spacing w:after="156" w:afterLines="50"/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br w:type="page"/>
      </w:r>
    </w:p>
    <w:p w14:paraId="5E43988B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</w:p>
    <w:p w14:paraId="78712488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公共卫生监测管理系统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采购项目报价表</w:t>
      </w:r>
    </w:p>
    <w:p w14:paraId="6CA9EF9E">
      <w:pPr>
        <w:rPr>
          <w:rFonts w:ascii="Calibri" w:hAnsi="Calibri" w:eastAsia="宋体" w:cs="Times New Roman"/>
          <w:sz w:val="24"/>
        </w:rPr>
      </w:pPr>
    </w:p>
    <w:tbl>
      <w:tblPr>
        <w:tblStyle w:val="6"/>
        <w:tblW w:w="9474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2151"/>
        <w:gridCol w:w="3170"/>
        <w:gridCol w:w="1888"/>
        <w:gridCol w:w="852"/>
      </w:tblGrid>
      <w:tr w14:paraId="202B6EC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62CC730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项目</w:t>
            </w:r>
          </w:p>
        </w:tc>
        <w:tc>
          <w:tcPr>
            <w:tcW w:w="21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52C9A55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内容</w:t>
            </w:r>
          </w:p>
        </w:tc>
        <w:tc>
          <w:tcPr>
            <w:tcW w:w="31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4FC3381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用途</w:t>
            </w:r>
          </w:p>
        </w:tc>
        <w:tc>
          <w:tcPr>
            <w:tcW w:w="188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8704639">
            <w:pPr>
              <w:jc w:val="center"/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报价</w:t>
            </w:r>
          </w:p>
        </w:tc>
        <w:tc>
          <w:tcPr>
            <w:tcW w:w="85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3EF0B822">
            <w:pPr>
              <w:jc w:val="center"/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备注</w:t>
            </w:r>
          </w:p>
        </w:tc>
      </w:tr>
      <w:tr w14:paraId="7A7A31C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10" w:hRule="atLeast"/>
          <w:jc w:val="center"/>
        </w:trPr>
        <w:tc>
          <w:tcPr>
            <w:tcW w:w="14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0E06C62D">
            <w:pPr>
              <w:rPr>
                <w:rFonts w:hint="eastAsia" w:ascii="Calibri" w:hAnsi="Calibri" w:eastAsia="宋体" w:cs="Times New Roman"/>
                <w:sz w:val="24"/>
                <w:lang w:eastAsia="zh-CN"/>
              </w:rPr>
            </w:pPr>
            <w:r>
              <w:rPr>
                <w:rFonts w:hint="eastAsia" w:ascii="Calibri" w:hAnsi="Calibri" w:eastAsia="宋体" w:cs="Times New Roman"/>
                <w:sz w:val="24"/>
                <w:lang w:eastAsia="zh-CN"/>
              </w:rPr>
              <w:t>公共卫生监测管理系统</w:t>
            </w:r>
          </w:p>
        </w:tc>
        <w:tc>
          <w:tcPr>
            <w:tcW w:w="21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391D55C"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eastAsia" w:ascii="Calibri" w:hAnsi="Calibri" w:eastAsia="宋体" w:cs="Times New Roman"/>
                <w:sz w:val="24"/>
              </w:rPr>
              <w:t>详见建设需求。</w:t>
            </w:r>
          </w:p>
        </w:tc>
        <w:tc>
          <w:tcPr>
            <w:tcW w:w="3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7CCF0727">
            <w:pPr>
              <w:rPr>
                <w:rFonts w:ascii="Calibri" w:hAnsi="Calibri" w:eastAsia="宋体" w:cs="Times New Roman"/>
                <w:sz w:val="24"/>
              </w:rPr>
            </w:pPr>
            <w:r>
              <w:rPr>
                <w:rFonts w:hint="default" w:ascii="Calibri" w:hAnsi="Calibri" w:eastAsia="宋体" w:cs="Times New Roman"/>
                <w:sz w:val="24"/>
                <w:lang w:val="en-US" w:eastAsia="zh-CN"/>
              </w:rPr>
              <w:t>用于医院疾病监测相关预警、信息查询和抓取、报告、统计分析、对接、反馈、管理等</w:t>
            </w:r>
            <w:r>
              <w:rPr>
                <w:rFonts w:hint="eastAsia" w:ascii="Calibri" w:hAnsi="Calibri" w:eastAsia="宋体" w:cs="Times New Roman"/>
                <w:sz w:val="24"/>
                <w:lang w:val="en-US" w:eastAsia="zh-CN"/>
              </w:rPr>
              <w:t>。</w:t>
            </w:r>
            <w:bookmarkStart w:id="0" w:name="_GoBack"/>
            <w:bookmarkEnd w:id="0"/>
          </w:p>
        </w:tc>
        <w:tc>
          <w:tcPr>
            <w:tcW w:w="188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6FACBC4C">
            <w:pPr>
              <w:rPr>
                <w:rFonts w:ascii="Calibri" w:hAnsi="Calibri" w:eastAsia="宋体" w:cs="Times New Roman"/>
                <w:sz w:val="24"/>
              </w:rPr>
            </w:pPr>
          </w:p>
        </w:tc>
        <w:tc>
          <w:tcPr>
            <w:tcW w:w="8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</w:tcPr>
          <w:p w14:paraId="41173568">
            <w:pPr>
              <w:rPr>
                <w:rFonts w:ascii="Calibri" w:hAnsi="Calibri" w:eastAsia="宋体" w:cs="Times New Roman"/>
                <w:sz w:val="24"/>
              </w:rPr>
            </w:pPr>
          </w:p>
        </w:tc>
      </w:tr>
    </w:tbl>
    <w:p w14:paraId="3EFE612C">
      <w:pPr>
        <w:ind w:left="619" w:leftChars="295"/>
        <w:rPr>
          <w:rFonts w:ascii="Calibri" w:hAnsi="Calibri" w:eastAsia="宋体" w:cs="Times New Roman"/>
          <w:sz w:val="24"/>
        </w:rPr>
      </w:pPr>
    </w:p>
    <w:p w14:paraId="43307763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  <w:r>
        <w:rPr>
          <w:rFonts w:hint="eastAsia" w:ascii="Calibri" w:hAnsi="Calibri" w:eastAsia="宋体" w:cs="Times New Roman"/>
          <w:smallCaps/>
          <w:sz w:val="24"/>
        </w:rPr>
        <w:t>报价公司：</w:t>
      </w:r>
    </w:p>
    <w:p w14:paraId="0C93E7AB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  <w:r>
        <w:rPr>
          <w:rFonts w:hint="eastAsia" w:ascii="Calibri" w:hAnsi="Calibri" w:eastAsia="宋体" w:cs="Times New Roman"/>
          <w:smallCaps/>
          <w:sz w:val="24"/>
        </w:rPr>
        <w:t>联系方式：</w:t>
      </w:r>
    </w:p>
    <w:p w14:paraId="64FBCF52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  <w:r>
        <w:rPr>
          <w:rFonts w:hint="eastAsia" w:ascii="Calibri" w:hAnsi="Calibri" w:eastAsia="宋体" w:cs="Times New Roman"/>
          <w:smallCaps/>
          <w:sz w:val="24"/>
        </w:rPr>
        <w:t>是否对需求内容完全响应：</w:t>
      </w:r>
    </w:p>
    <w:p w14:paraId="601CD96E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  <w:r>
        <w:rPr>
          <w:rFonts w:hint="eastAsia" w:ascii="Calibri" w:hAnsi="Calibri" w:eastAsia="宋体" w:cs="Times New Roman"/>
          <w:smallCaps/>
          <w:sz w:val="24"/>
        </w:rPr>
        <w:t>日期：</w:t>
      </w:r>
    </w:p>
    <w:p w14:paraId="06EBF8AD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</w:p>
    <w:p w14:paraId="399AEA83">
      <w:pPr>
        <w:widowControl/>
        <w:spacing w:after="120" w:line="360" w:lineRule="auto"/>
        <w:ind w:firstLine="720" w:firstLineChars="300"/>
        <w:jc w:val="left"/>
        <w:rPr>
          <w:rFonts w:ascii="Calibri" w:hAnsi="Calibri" w:eastAsia="宋体" w:cs="Times New Roman"/>
          <w:smallCaps/>
          <w:sz w:val="24"/>
        </w:rPr>
      </w:pPr>
    </w:p>
    <w:p w14:paraId="26F77F24">
      <w:pPr>
        <w:rPr>
          <w:rFonts w:ascii="Calibri" w:hAnsi="Calibri" w:eastAsia="宋体" w:cs="Times New Roman"/>
          <w:sz w:val="24"/>
        </w:rPr>
      </w:pPr>
    </w:p>
    <w:p w14:paraId="5F1567A4">
      <w:pPr>
        <w:rPr>
          <w:rFonts w:ascii="Calibri" w:hAnsi="Calibri" w:eastAsia="宋体" w:cs="Times New Roman"/>
          <w:sz w:val="24"/>
        </w:rPr>
      </w:pPr>
      <w:r>
        <w:rPr>
          <w:rFonts w:ascii="Calibri" w:hAnsi="Calibri" w:eastAsia="宋体" w:cs="Times New Roman"/>
          <w:sz w:val="24"/>
        </w:rPr>
        <w:br w:type="page"/>
      </w:r>
    </w:p>
    <w:p w14:paraId="6371E2CA">
      <w:pPr>
        <w:jc w:val="center"/>
        <w:rPr>
          <w:rFonts w:ascii="方正小标宋_GBK" w:hAnsi="方正小标宋_GBK" w:eastAsia="方正小标宋_GBK" w:cs="方正小标宋_GBK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成都市第二人民医院</w:t>
      </w:r>
    </w:p>
    <w:p w14:paraId="4250123B">
      <w:pPr>
        <w:jc w:val="center"/>
        <w:rPr>
          <w:rFonts w:ascii="方正小标宋简体" w:hAnsi="方正小标宋简体" w:eastAsia="方正小标宋简体" w:cs="Times New Roman"/>
          <w:sz w:val="36"/>
          <w:szCs w:val="36"/>
        </w:rPr>
      </w:pPr>
      <w:r>
        <w:rPr>
          <w:rFonts w:hint="eastAsia" w:ascii="方正小标宋_GBK" w:hAnsi="方正小标宋_GBK" w:eastAsia="方正小标宋_GBK" w:cs="方正小标宋_GBK"/>
          <w:sz w:val="36"/>
          <w:szCs w:val="36"/>
          <w:lang w:eastAsia="zh-CN"/>
        </w:rPr>
        <w:t>公共卫生监测管理系统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采购项目方案</w:t>
      </w:r>
    </w:p>
    <w:p w14:paraId="2D368741">
      <w:pPr>
        <w:jc w:val="center"/>
        <w:rPr>
          <w:rFonts w:ascii="Calibri" w:hAnsi="Calibri" w:eastAsia="宋体" w:cs="Times New Roman"/>
          <w:sz w:val="24"/>
        </w:rPr>
      </w:pPr>
      <w:r>
        <w:rPr>
          <w:rFonts w:hint="eastAsia" w:ascii="Calibri" w:hAnsi="Calibri" w:eastAsia="宋体" w:cs="Times New Roman"/>
          <w:sz w:val="24"/>
        </w:rPr>
        <w:t>（模板）</w:t>
      </w:r>
    </w:p>
    <w:p w14:paraId="30AF36E3">
      <w:pPr>
        <w:rPr>
          <w:rFonts w:ascii="Calibri" w:hAnsi="Calibri" w:eastAsia="宋体" w:cs="Times New Roman"/>
          <w:sz w:val="24"/>
        </w:rPr>
      </w:pPr>
    </w:p>
    <w:p w14:paraId="28511DF9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需求xxx</w:t>
      </w:r>
    </w:p>
    <w:p w14:paraId="2329D1BF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1．需求xxx</w:t>
      </w:r>
    </w:p>
    <w:p w14:paraId="430451A8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05DA75EA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52E022D2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2.需求xxx</w:t>
      </w:r>
    </w:p>
    <w:p w14:paraId="44DB82DC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40EAFB07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1A0A6B4A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3.需求xxx</w:t>
      </w:r>
    </w:p>
    <w:p w14:paraId="60C6024F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回复：（是/否完全响应）</w:t>
      </w:r>
    </w:p>
    <w:p w14:paraId="6CA78431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hint="eastAsia" w:ascii="仿宋" w:hAnsi="仿宋" w:eastAsia="仿宋" w:cs="Times New Roman"/>
          <w:kern w:val="0"/>
          <w:sz w:val="28"/>
          <w:szCs w:val="28"/>
        </w:rPr>
        <w:t>具体方案：</w:t>
      </w:r>
    </w:p>
    <w:p w14:paraId="2811BBED">
      <w:pPr>
        <w:widowControl/>
        <w:adjustRightInd w:val="0"/>
        <w:snapToGrid w:val="0"/>
        <w:spacing w:after="156" w:afterLines="50" w:line="560" w:lineRule="exact"/>
        <w:ind w:left="720" w:firstLine="556"/>
        <w:rPr>
          <w:rFonts w:ascii="仿宋" w:hAnsi="仿宋" w:eastAsia="仿宋" w:cs="Times New Roman"/>
          <w:kern w:val="0"/>
          <w:sz w:val="28"/>
          <w:szCs w:val="28"/>
        </w:rPr>
      </w:pPr>
      <w:r>
        <w:rPr>
          <w:rFonts w:ascii="仿宋" w:hAnsi="仿宋" w:eastAsia="仿宋" w:cs="Times New Roman"/>
          <w:kern w:val="0"/>
          <w:sz w:val="28"/>
          <w:szCs w:val="28"/>
        </w:rPr>
        <w:t>二、其它</w:t>
      </w:r>
    </w:p>
    <w:p w14:paraId="1F2766CC">
      <w:pPr>
        <w:rPr>
          <w:rFonts w:ascii="Calibri" w:hAnsi="Calibri" w:eastAsia="宋体" w:cs="Times New Roman"/>
        </w:rPr>
      </w:pPr>
    </w:p>
    <w:p w14:paraId="0E537824">
      <w:pPr>
        <w:spacing w:after="120"/>
        <w:rPr>
          <w:rFonts w:ascii="宋体" w:hAnsi="Calibri" w:eastAsia="宋体" w:cs="Times New Roman"/>
          <w:sz w:val="34"/>
        </w:rPr>
      </w:pPr>
    </w:p>
    <w:p w14:paraId="5E85E158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default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</w:p>
    <w:p w14:paraId="4CBF1560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-11" w:firstLine="560" w:firstLineChars="200"/>
        <w:textAlignment w:val="auto"/>
        <w:rPr>
          <w:rFonts w:hint="eastAsia" w:ascii="宋体" w:hAnsi="宋体" w:eastAsia="宋体" w:cs="宋体"/>
          <w:b w:val="0"/>
          <w:bCs/>
          <w:sz w:val="28"/>
          <w:szCs w:val="28"/>
          <w:highlight w:val="none"/>
          <w:lang w:val="en-US" w:eastAsia="zh-CN"/>
        </w:rPr>
      </w:pPr>
    </w:p>
    <w:p w14:paraId="5AD73A92">
      <w:pPr>
        <w:keepNext w:val="0"/>
        <w:keepLines w:val="0"/>
        <w:pageBreakBefore w:val="0"/>
        <w:widowControl/>
        <w:numPr>
          <w:ilvl w:val="255"/>
          <w:numId w:val="0"/>
        </w:numPr>
        <w:tabs>
          <w:tab w:val="left" w:pos="11"/>
          <w:tab w:val="left" w:pos="152"/>
          <w:tab w:val="left" w:pos="294"/>
        </w:tabs>
        <w:kinsoku/>
        <w:wordWrap/>
        <w:overflowPunct/>
        <w:topLinePunct w:val="0"/>
        <w:autoSpaceDE/>
        <w:autoSpaceDN/>
        <w:bidi w:val="0"/>
        <w:adjustRightInd/>
        <w:snapToGrid/>
        <w:ind w:left="-11" w:firstLine="420" w:firstLineChars="200"/>
        <w:textAlignment w:val="auto"/>
        <w:rPr>
          <w:rFonts w:hint="eastAsia" w:asciiTheme="minorEastAsia" w:hAnsiTheme="minorEastAsia" w:eastAsiaTheme="minorEastAsia" w:cstheme="minorEastAsia"/>
          <w:b w:val="0"/>
          <w:bCs/>
          <w:szCs w:val="21"/>
          <w:highlight w:val="none"/>
          <w:lang w:eastAsia="zh-CN"/>
        </w:rPr>
      </w:pPr>
    </w:p>
    <w:p w14:paraId="55D06574">
      <w:pPr>
        <w:rPr>
          <w:highlight w:val="none"/>
        </w:rPr>
      </w:pPr>
    </w:p>
    <w:sectPr>
      <w:footerReference r:id="rId3" w:type="default"/>
      <w:pgSz w:w="11906" w:h="16838"/>
      <w:pgMar w:top="1440" w:right="1800" w:bottom="1440" w:left="1800" w:header="708" w:footer="708" w:gutter="0"/>
      <w:cols w:space="708" w:num="1"/>
      <w:docGrid w:type="lines"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简体">
    <w:altName w:val="Arial Unicode MS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FB526D"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ED89C36"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3ED89C36"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4BFE"/>
    <w:rsid w:val="000D0DD6"/>
    <w:rsid w:val="00153E5E"/>
    <w:rsid w:val="00195DA0"/>
    <w:rsid w:val="002377D5"/>
    <w:rsid w:val="00243431"/>
    <w:rsid w:val="00324F81"/>
    <w:rsid w:val="00364185"/>
    <w:rsid w:val="00431E8F"/>
    <w:rsid w:val="00497061"/>
    <w:rsid w:val="005476AE"/>
    <w:rsid w:val="00634204"/>
    <w:rsid w:val="008866E2"/>
    <w:rsid w:val="00925C60"/>
    <w:rsid w:val="00955B8E"/>
    <w:rsid w:val="009A4BFE"/>
    <w:rsid w:val="009E238D"/>
    <w:rsid w:val="00B4176D"/>
    <w:rsid w:val="00B476F1"/>
    <w:rsid w:val="00B702BE"/>
    <w:rsid w:val="00D1792E"/>
    <w:rsid w:val="00EC58A9"/>
    <w:rsid w:val="020624C0"/>
    <w:rsid w:val="10821B56"/>
    <w:rsid w:val="11C00766"/>
    <w:rsid w:val="11F85F87"/>
    <w:rsid w:val="16BE00B5"/>
    <w:rsid w:val="1C8B3AF7"/>
    <w:rsid w:val="2C092BA8"/>
    <w:rsid w:val="3A8F1326"/>
    <w:rsid w:val="3C3C645F"/>
    <w:rsid w:val="40155D85"/>
    <w:rsid w:val="49103BAE"/>
    <w:rsid w:val="6093239F"/>
    <w:rsid w:val="6356408E"/>
    <w:rsid w:val="638D3B51"/>
    <w:rsid w:val="6F9512FF"/>
    <w:rsid w:val="7A111E1A"/>
    <w:rsid w:val="7AB03A59"/>
    <w:rsid w:val="7CD6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0"/>
    <w:pPr>
      <w:jc w:val="left"/>
    </w:pPr>
  </w:style>
  <w:style w:type="paragraph" w:styleId="3">
    <w:name w:val="footer"/>
    <w:basedOn w:val="1"/>
    <w:link w:val="14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3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subject"/>
    <w:basedOn w:val="2"/>
    <w:next w:val="2"/>
    <w:link w:val="12"/>
    <w:qFormat/>
    <w:uiPriority w:val="0"/>
    <w:rPr>
      <w:b/>
      <w:bCs/>
    </w:rPr>
  </w:style>
  <w:style w:type="character" w:styleId="8">
    <w:name w:val="annotation reference"/>
    <w:basedOn w:val="7"/>
    <w:qFormat/>
    <w:uiPriority w:val="0"/>
    <w:rPr>
      <w:sz w:val="21"/>
      <w:szCs w:val="21"/>
    </w:rPr>
  </w:style>
  <w:style w:type="paragraph" w:styleId="9">
    <w:name w:val="List Paragraph"/>
    <w:basedOn w:val="1"/>
    <w:qFormat/>
    <w:uiPriority w:val="34"/>
    <w:pPr>
      <w:ind w:firstLine="420"/>
    </w:pPr>
  </w:style>
  <w:style w:type="paragraph" w:customStyle="1" w:styleId="10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customStyle="1" w:styleId="11">
    <w:name w:val="批注文字 字符"/>
    <w:basedOn w:val="7"/>
    <w:link w:val="2"/>
    <w:qFormat/>
    <w:uiPriority w:val="0"/>
    <w:rPr>
      <w:kern w:val="2"/>
      <w:sz w:val="21"/>
      <w:szCs w:val="24"/>
    </w:rPr>
  </w:style>
  <w:style w:type="character" w:customStyle="1" w:styleId="12">
    <w:name w:val="批注主题 字符"/>
    <w:basedOn w:val="11"/>
    <w:link w:val="5"/>
    <w:qFormat/>
    <w:uiPriority w:val="0"/>
    <w:rPr>
      <w:b/>
      <w:bCs/>
      <w:kern w:val="2"/>
      <w:sz w:val="21"/>
      <w:szCs w:val="24"/>
    </w:rPr>
  </w:style>
  <w:style w:type="character" w:customStyle="1" w:styleId="13">
    <w:name w:val="页眉 字符"/>
    <w:basedOn w:val="7"/>
    <w:link w:val="4"/>
    <w:qFormat/>
    <w:uiPriority w:val="0"/>
    <w:rPr>
      <w:kern w:val="2"/>
      <w:sz w:val="18"/>
      <w:szCs w:val="18"/>
    </w:rPr>
  </w:style>
  <w:style w:type="character" w:customStyle="1" w:styleId="14">
    <w:name w:val="页脚 字符"/>
    <w:basedOn w:val="7"/>
    <w:link w:val="3"/>
    <w:qFormat/>
    <w:uiPriority w:val="0"/>
    <w:rPr>
      <w:kern w:val="2"/>
      <w:sz w:val="18"/>
      <w:szCs w:val="18"/>
    </w:rPr>
  </w:style>
  <w:style w:type="paragraph" w:customStyle="1" w:styleId="15">
    <w:name w:val="paragraph"/>
    <w:basedOn w:val="1"/>
    <w:semiHidden/>
    <w:qFormat/>
    <w:uiPriority w:val="0"/>
    <w:pPr>
      <w:widowControl/>
      <w:spacing w:before="100" w:beforeAutospacing="1" w:after="100" w:afterAutospacing="1"/>
      <w:jc w:val="left"/>
    </w:pPr>
    <w:rPr>
      <w:rFonts w:ascii="等线" w:hAnsi="等线" w:eastAsia="等线" w:cs="Times New Roman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15</Pages>
  <Words>4446</Words>
  <Characters>4591</Characters>
  <Lines>67</Lines>
  <Paragraphs>18</Paragraphs>
  <TotalTime>0</TotalTime>
  <ScaleCrop>false</ScaleCrop>
  <LinksUpToDate>false</LinksUpToDate>
  <CharactersWithSpaces>4653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2025-07-09T02:11:00Z</dcterms:created>
  <dc:creator>HP</dc:creator>
  <cp:lastModifiedBy>陈柯岚</cp:lastModifiedBy>
  <dcterms:modified xsi:type="dcterms:W3CDTF">2025-09-12T07:42:37Z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KSOTemplateDocerSaveRecord">
    <vt:lpwstr>eyJoZGlkIjoiNzFlMjMwZGJkMDk0NjRmNTA4MmJkNjU5M2Y3ZjRhZmEiLCJ1c2VySWQiOiIxMDEwNTk2NjIzIn0=</vt:lpwstr>
  </property>
  <property fmtid="{D5CDD505-2E9C-101B-9397-08002B2CF9AE}" pid="4" name="ICV">
    <vt:lpwstr>326D1A80939942788328FA7ED1973D9F_13</vt:lpwstr>
  </property>
</Properties>
</file>