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2"/>
          <w:numId w:val="0"/>
        </w:numPr>
        <w:spacing w:after="200" w:line="240" w:lineRule="auto"/>
        <w:rPr>
          <w:color w:val="auto"/>
          <w:sz w:val="36"/>
          <w:szCs w:val="36"/>
        </w:rPr>
      </w:pPr>
      <w:bookmarkStart w:id="0" w:name="_Toc450641243"/>
      <w:r>
        <w:rPr>
          <w:rFonts w:hint="eastAsia"/>
          <w:color w:val="auto"/>
          <w:sz w:val="36"/>
          <w:szCs w:val="36"/>
          <w:lang w:val="en-US" w:eastAsia="zh-CN"/>
        </w:rPr>
        <w:t>询价分项</w:t>
      </w:r>
      <w:r>
        <w:rPr>
          <w:rFonts w:hint="eastAsia"/>
          <w:color w:val="auto"/>
          <w:sz w:val="36"/>
          <w:szCs w:val="36"/>
        </w:rPr>
        <w:t>报价明细表</w:t>
      </w:r>
      <w:bookmarkEnd w:id="0"/>
    </w:p>
    <w:p>
      <w:pPr>
        <w:rPr>
          <w:rFonts w:ascii="宋体" w:hAnsi="宋体"/>
          <w:b/>
          <w:sz w:val="26"/>
          <w:szCs w:val="26"/>
          <w:u w:val="single"/>
        </w:rPr>
      </w:pPr>
      <w:r>
        <w:rPr>
          <w:rFonts w:hint="eastAsia" w:ascii="宋体" w:hAnsi="宋体"/>
          <w:b/>
          <w:sz w:val="26"/>
          <w:szCs w:val="26"/>
        </w:rPr>
        <w:t>项目名称：</w:t>
      </w:r>
      <w:r>
        <w:rPr>
          <w:rFonts w:hint="eastAsia" w:ascii="宋体" w:hAnsi="宋体"/>
          <w:b/>
          <w:sz w:val="26"/>
          <w:szCs w:val="26"/>
          <w:u w:val="single"/>
        </w:rPr>
        <w:t>成都市第二人民医院</w:t>
      </w:r>
      <w:r>
        <w:rPr>
          <w:rFonts w:hint="default" w:ascii="宋体" w:hAnsi="宋体"/>
          <w:b/>
          <w:sz w:val="26"/>
          <w:szCs w:val="26"/>
          <w:u w:val="single"/>
          <w:lang w:val="en-US"/>
        </w:rPr>
        <w:t>2025-2028</w:t>
      </w:r>
      <w:r>
        <w:rPr>
          <w:rFonts w:hint="eastAsia" w:ascii="宋体" w:hAnsi="宋体"/>
          <w:b/>
          <w:sz w:val="26"/>
          <w:szCs w:val="26"/>
          <w:u w:val="single"/>
        </w:rPr>
        <w:t>年度</w:t>
      </w:r>
      <w:r>
        <w:rPr>
          <w:rFonts w:hint="eastAsia" w:ascii="宋体" w:hAnsi="宋体"/>
          <w:b/>
          <w:sz w:val="26"/>
          <w:szCs w:val="26"/>
          <w:u w:val="single"/>
          <w:lang w:val="en-US" w:eastAsia="zh-CN"/>
        </w:rPr>
        <w:t>植物租赁、栽植、养护服务</w:t>
      </w:r>
      <w:r>
        <w:rPr>
          <w:rFonts w:hint="eastAsia" w:ascii="宋体" w:hAnsi="宋体"/>
          <w:b/>
          <w:sz w:val="26"/>
          <w:szCs w:val="26"/>
          <w:u w:val="single"/>
        </w:rPr>
        <w:t>采购</w:t>
      </w:r>
      <w:r>
        <w:rPr>
          <w:rFonts w:hint="eastAsia" w:ascii="宋体" w:hAnsi="宋体"/>
          <w:b/>
          <w:sz w:val="26"/>
          <w:szCs w:val="26"/>
          <w:u w:val="single"/>
          <w:lang w:val="en-US" w:eastAsia="zh-CN"/>
        </w:rPr>
        <w:t>项</w:t>
      </w:r>
      <w:r>
        <w:rPr>
          <w:rFonts w:hint="eastAsia" w:ascii="宋体" w:hAnsi="宋体"/>
          <w:b/>
          <w:sz w:val="26"/>
          <w:szCs w:val="26"/>
          <w:u w:val="single"/>
        </w:rPr>
        <w:t>目</w:t>
      </w:r>
    </w:p>
    <w:tbl>
      <w:tblPr>
        <w:tblStyle w:val="6"/>
        <w:tblW w:w="8080" w:type="dxa"/>
        <w:tblInd w:w="9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2031"/>
        <w:gridCol w:w="559"/>
        <w:gridCol w:w="766"/>
        <w:gridCol w:w="925"/>
        <w:gridCol w:w="225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20" w:hRule="atLeast"/>
        </w:trPr>
        <w:tc>
          <w:tcPr>
            <w:tcW w:w="808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jc w:val="left"/>
              <w:textAlignment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植物栽植清单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时间</w:t>
            </w: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植物品名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年度预估采购量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品种要求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2" w:hRule="exac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7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4-9月</w:t>
            </w: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12杯鲜草花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株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20000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2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矮牵牛、夏堇、一串红、孔雀草、百日草、千日红、海棠、彩叶草、石竹、报春、金盏菊、三色堇、凤仙、波斯菊、翠菊、白晶菊、万寿菊、波斯菊、荷兰菊、瓜叶菊、鼠尾草、彩叶草、美女樱、矾根、彩叶草等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8" w:hRule="exac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14杯鲜草花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株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10000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2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exac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16杯鲜草花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株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2500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2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矾根、彩叶草、羽衣甘蓝、蟹爪兰、水仙花、绣球、凤梨、几内亚凤仙、大丽花、瓜叶菊、玛格丽特、银叶菊、狐尾天门冬、常春藤、郁金香、百合、虞美人、香彩雀、千日红、五色梅、婆婆纳、百子莲、蓝雪花、天竺葵、火炬、风信子、康乃馨、仙客来、月季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exac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2加仑鲜草花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株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2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exac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16杯观赏草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株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1100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肾蕨、狼尾草、马鞭草、花叶芒、佛甲草、中华景天等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5" w:hRule="exac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16杯灌木花苗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株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6000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杜鹃、木春菊、小叶女贞、栀子花、满天星、鸭脚木、八角金盘、红叶石楠等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中型灌木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株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1-1.2m冬青等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美植袋灌木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株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南天竹、棕竹等                                                      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1.5-1.8m藤本植物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株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金银花、月季、玫瑰、三角梅等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80cm-100cm灌木球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276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金禾女贞球、海桐球、千层金、红叶石楠、红花檵木等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1.2m-1.5m灌木球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个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27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exac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7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1-3月，10-12月</w:t>
            </w: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12杯鲜草花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株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20000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2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矮牵牛、夏堇、一串红、孔雀草、百日草、千日红、海棠、彩叶草、石竹、报春、金盏菊、三色堇、凤仙、波斯菊、翠菊、白晶菊、万寿菊、波斯菊、荷兰菊、瓜叶菊、鼠尾草、彩叶草、美女樱、矾根、彩叶草等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6" w:hRule="exac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14杯鲜草花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株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10000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2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4" w:hRule="exac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16杯鲜草花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株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2500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27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矾根、彩叶草、羽衣甘蓝、蟹爪兰、水仙花、绣球、凤梨、几内亚凤仙、大丽花、瓜叶菊、玛格丽特、银叶菊、狐尾天门冬、常春藤、郁金香、百合、虞美人、香彩雀、千日红、五色梅、婆婆纳、百子莲、蓝雪花、天竺葵、火炬、风信子、康乃馨、仙客来、月季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4" w:hRule="exac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2加仑鲜草花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株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2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16杯观赏草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株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1100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肾蕨、狼尾草、马鞭草、花叶芒、佛甲草、中华景天等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16杯灌木花苗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株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6000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杜鹃、木春菊、小叶女贞、栀子花、满天星、鸭脚木、八角金盘、红叶石楠等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中型灌木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株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600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1-1.2m冬青等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美植袋灌木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株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南天竹、棕竹等                                                      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1.5-1.8m藤本植物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株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金银花、月季、玫瑰、三角梅等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80cm-100cm灌木球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株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276" w:type="dxa"/>
            <w:vMerge w:val="restart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金禾女贞球、海桐球、千层金、红叶石楠、红花檵木等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1.2m-1.5m灌木球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株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27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exac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77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全年</w:t>
            </w: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麦冬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斤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1000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细叶麦冬、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矮麦冬、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山麦冬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、常规麦冬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等常见麦冬品种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77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0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草坪</w:t>
            </w:r>
          </w:p>
        </w:tc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㎡</w:t>
            </w:r>
          </w:p>
        </w:tc>
        <w:tc>
          <w:tcPr>
            <w:tcW w:w="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500</w:t>
            </w:r>
          </w:p>
        </w:tc>
        <w:tc>
          <w:tcPr>
            <w:tcW w:w="9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台湾二号等常用草坪品种</w:t>
            </w:r>
          </w:p>
        </w:tc>
      </w:tr>
    </w:tbl>
    <w:p>
      <w:pPr>
        <w:pStyle w:val="3"/>
        <w:ind w:firstLine="210"/>
        <w:rPr>
          <w:color w:val="auto"/>
        </w:rPr>
      </w:pPr>
    </w:p>
    <w:tbl>
      <w:tblPr>
        <w:tblStyle w:val="6"/>
        <w:tblW w:w="790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"/>
        <w:gridCol w:w="1721"/>
        <w:gridCol w:w="741"/>
        <w:gridCol w:w="667"/>
        <w:gridCol w:w="844"/>
        <w:gridCol w:w="1278"/>
        <w:gridCol w:w="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790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植物租赁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清单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租摆品名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年度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预估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采购量</w:t>
            </w:r>
          </w:p>
        </w:tc>
        <w:tc>
          <w:tcPr>
            <w:tcW w:w="8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（元/天）</w:t>
            </w: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参考照片</w:t>
            </w:r>
          </w:p>
        </w:tc>
        <w:tc>
          <w:tcPr>
            <w:tcW w:w="2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规格要求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小型植物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  <w:t>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635000</wp:posOffset>
                  </wp:positionV>
                  <wp:extent cx="548005" cy="598170"/>
                  <wp:effectExtent l="0" t="0" r="4445" b="11430"/>
                  <wp:wrapNone/>
                  <wp:docPr id="15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1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租摆植物品种：小观音绿、小万年青、小绿萝、小绿巨叶、袖珍椰子、文竹等。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植物规格：高30cm左右。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容器材质规格：陶瓷盆等，具体根据实际情况进行调整。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桌面小型盆景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257810</wp:posOffset>
                  </wp:positionV>
                  <wp:extent cx="619125" cy="601980"/>
                  <wp:effectExtent l="0" t="0" r="9525" b="7620"/>
                  <wp:wrapNone/>
                  <wp:docPr id="19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租摆植物品种：多肉盆景、桩头小盆景、榕桩小盆景、花卉盆景等。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植物规格：高30cm左右。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容器材质规格：陶瓷盆等，具体根据实际情况进行调整。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大型植物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  <w:t>327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95885</wp:posOffset>
                  </wp:positionV>
                  <wp:extent cx="628650" cy="600075"/>
                  <wp:effectExtent l="0" t="0" r="0" b="9525"/>
                  <wp:wrapNone/>
                  <wp:docPr id="6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租摆植物品种：绿宝、观音莲、平安树、绿叶铁卷叶铁等。植物规格：160cm左右落地租摆，整体高度根据现场情况调整。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容器材质规格：不锈钢管拉丝盆或陶瓷盆等，具体根据实际情况进行调整。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1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特大型植物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  <w:t>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1010285</wp:posOffset>
                  </wp:positionV>
                  <wp:extent cx="545465" cy="544830"/>
                  <wp:effectExtent l="0" t="0" r="6985" b="7620"/>
                  <wp:wrapNone/>
                  <wp:docPr id="14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租摆植物品种：幸福树、散尾葵、发财树、绿宝、摇钱树、巴西木、天堂鸟等。植物规格：高200cm以上枝繁叶茂，无枯枝败叶，无病虫害，树造型艺术。容器材质规格：不锈钢管拉丝盆或陶瓷盆等，具体根据实际情况进行调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大组合盆景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组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1265555</wp:posOffset>
                  </wp:positionV>
                  <wp:extent cx="587375" cy="718820"/>
                  <wp:effectExtent l="0" t="0" r="3175" b="5080"/>
                  <wp:wrapNone/>
                  <wp:docPr id="5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组合要求：花卉与绿植组合搭配，花卉不低于6株，绿植不低于3株。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花卉品种：蕙兰、红掌、鸿运当头等。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绿植品种：常春藤、变叶木、鸟巢蕨等。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容器材质规格：不锈钢管拉丝盆或陶瓷盆等，花盆数量2-4个，组合需高低盆错落布置，花盆平均高度70cm左右，具体根据实际情况进行调整。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8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鲜花组合盆景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</w:p>
        </w:tc>
        <w:tc>
          <w:tcPr>
            <w:tcW w:w="1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463550</wp:posOffset>
                  </wp:positionV>
                  <wp:extent cx="577215" cy="473075"/>
                  <wp:effectExtent l="0" t="0" r="13335" b="3175"/>
                  <wp:wrapNone/>
                  <wp:docPr id="12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组合要求：花卉与绿植组合搭配，花卉不低于9株。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花卉品种：蝴蝶兰、跳舞兰、郁金香、百合、绣球等。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容器材质规格：艺术陶瓷盆等，整体高度60cm左右，具体根据实际情况进行调整。</w:t>
            </w:r>
          </w:p>
        </w:tc>
      </w:tr>
    </w:tbl>
    <w:p>
      <w:pPr>
        <w:pStyle w:val="3"/>
        <w:ind w:firstLine="0" w:firstLineChars="0"/>
        <w:rPr>
          <w:color w:val="auto"/>
        </w:rPr>
      </w:pPr>
    </w:p>
    <w:p>
      <w:pPr>
        <w:pStyle w:val="3"/>
        <w:ind w:firstLine="0" w:firstLineChars="0"/>
        <w:rPr>
          <w:rFonts w:hint="default" w:eastAsia="宋体"/>
          <w:color w:val="auto"/>
          <w:lang w:val="en-US" w:eastAsia="zh-CN"/>
        </w:rPr>
      </w:pPr>
      <w:r>
        <w:rPr>
          <w:rFonts w:hint="default"/>
          <w:color w:val="auto"/>
          <w:lang w:val="en-US"/>
        </w:rPr>
        <w:t>3.</w:t>
      </w:r>
      <w:r>
        <w:rPr>
          <w:rFonts w:hint="eastAsia"/>
          <w:color w:val="auto"/>
          <w:lang w:val="en-US" w:eastAsia="zh-CN"/>
        </w:rPr>
        <w:t>零星项目清单</w:t>
      </w:r>
    </w:p>
    <w:tbl>
      <w:tblPr>
        <w:tblStyle w:val="6"/>
        <w:tblW w:w="8429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4"/>
        <w:gridCol w:w="1617"/>
        <w:gridCol w:w="630"/>
        <w:gridCol w:w="615"/>
        <w:gridCol w:w="900"/>
        <w:gridCol w:w="1275"/>
        <w:gridCol w:w="279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6" w:hRule="atLeast"/>
        </w:trPr>
        <w:tc>
          <w:tcPr>
            <w:tcW w:w="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服务项目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年度预估采购数量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单价（元）</w:t>
            </w: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参考照片</w:t>
            </w:r>
          </w:p>
        </w:tc>
        <w:tc>
          <w:tcPr>
            <w:tcW w:w="2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规格要求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仿生树木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株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  <w:t>2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91440</wp:posOffset>
                  </wp:positionV>
                  <wp:extent cx="649605" cy="426085"/>
                  <wp:effectExtent l="0" t="0" r="17145" b="12065"/>
                  <wp:wrapNone/>
                  <wp:docPr id="13" name="图片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42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规格：160cm-240cm高，80-160cm冠径，按医院要求设计，据实结算。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</w:trPr>
        <w:tc>
          <w:tcPr>
            <w:tcW w:w="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仿生草坪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㎡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  <w:t>60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153035</wp:posOffset>
                  </wp:positionV>
                  <wp:extent cx="644525" cy="594995"/>
                  <wp:effectExtent l="0" t="0" r="3175" b="14605"/>
                  <wp:wrapNone/>
                  <wp:docPr id="16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按医院要求提供，据实结算。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3" w:hRule="atLeast"/>
        </w:trPr>
        <w:tc>
          <w:tcPr>
            <w:tcW w:w="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仿生绿墙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㎡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  <w:t>10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54610</wp:posOffset>
                  </wp:positionV>
                  <wp:extent cx="451485" cy="589280"/>
                  <wp:effectExtent l="0" t="0" r="5715" b="1270"/>
                  <wp:wrapNone/>
                  <wp:docPr id="7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按医院要求提供，据实结算。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6" w:hRule="atLeast"/>
        </w:trPr>
        <w:tc>
          <w:tcPr>
            <w:tcW w:w="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捧花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束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  <w:t>100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321310</wp:posOffset>
                  </wp:positionV>
                  <wp:extent cx="591820" cy="680720"/>
                  <wp:effectExtent l="0" t="0" r="17780" b="5080"/>
                  <wp:wrapNone/>
                  <wp:docPr id="8" name="图片_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2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捧花：鲜花不低于15只，配花、绿叶等根据鲜花品种与造型进行合理搭配，艺术捧花装饰纸，花泥1个，鲜切花品种：康乃馨、月季花，百合花等。4.绿叶品种：尤加利、黄莺等，据实结算。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6" w:hRule="atLeast"/>
        </w:trPr>
        <w:tc>
          <w:tcPr>
            <w:tcW w:w="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插花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盆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  <w:t>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449580</wp:posOffset>
                  </wp:positionV>
                  <wp:extent cx="619125" cy="542290"/>
                  <wp:effectExtent l="0" t="0" r="9525" b="10160"/>
                  <wp:wrapNone/>
                  <wp:docPr id="9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2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鲜花不低于20只，配花、绿叶等根据鲜花品种与造型进行合理搭配，插花容器根据造型合理搭配，鲜切花品种：蝴蝶兰、跳舞兰、月季花，百合花等，绿叶品种：散尾葵、龟背竹、巴西木等。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4" w:hRule="atLeast"/>
        </w:trPr>
        <w:tc>
          <w:tcPr>
            <w:tcW w:w="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鲜切花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束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  <w:t>20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177165</wp:posOffset>
                  </wp:positionV>
                  <wp:extent cx="587375" cy="494665"/>
                  <wp:effectExtent l="0" t="0" r="3175" b="635"/>
                  <wp:wrapNone/>
                  <wp:docPr id="17" name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49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不低于10支B级及以上品质的鲜切花，如玫瑰、桔梗、康乃馨等，搭配适量满天星、黄莹等叶材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桌面花瓶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  <w:t>20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46355</wp:posOffset>
                  </wp:positionV>
                  <wp:extent cx="511175" cy="478790"/>
                  <wp:effectExtent l="0" t="0" r="3175" b="16510"/>
                  <wp:wrapNone/>
                  <wp:docPr id="18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75" cy="47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18-30cm高桌面小花瓶，按医院要求提供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木质花箱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  <w:t>25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49530</wp:posOffset>
                  </wp:positionV>
                  <wp:extent cx="563245" cy="466090"/>
                  <wp:effectExtent l="0" t="0" r="8255" b="10160"/>
                  <wp:wrapNone/>
                  <wp:docPr id="10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4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规格：120cm长*80cm高*50cm宽左右，按医院要求更换，据实结算。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8" w:hRule="atLeast"/>
        </w:trPr>
        <w:tc>
          <w:tcPr>
            <w:tcW w:w="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罗马盆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  <w:t>15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170180</wp:posOffset>
                  </wp:positionV>
                  <wp:extent cx="495935" cy="447675"/>
                  <wp:effectExtent l="0" t="0" r="18415" b="9525"/>
                  <wp:wrapNone/>
                  <wp:docPr id="11" name="图片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规格：高90cm直径100cm左右，按医院要求更换，据实结算。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</w:trPr>
        <w:tc>
          <w:tcPr>
            <w:tcW w:w="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木质条凳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26670</wp:posOffset>
                  </wp:positionV>
                  <wp:extent cx="545465" cy="410210"/>
                  <wp:effectExtent l="0" t="0" r="6985" b="8890"/>
                  <wp:wrapNone/>
                  <wp:docPr id="22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规格：150cm长*40cm高*40cm宽左右，按医院要求更换，据实结算。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木质椅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根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  <w:t>1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27940</wp:posOffset>
                  </wp:positionV>
                  <wp:extent cx="624205" cy="541655"/>
                  <wp:effectExtent l="0" t="0" r="4445" b="10795"/>
                  <wp:wrapNone/>
                  <wp:docPr id="21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1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规格：150cm长*80cm高*40cm宽左右，按医院要求更换，据实结算。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5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6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植物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艺术景观</w:t>
            </w:r>
          </w:p>
        </w:tc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㎡</w:t>
            </w:r>
          </w:p>
        </w:tc>
        <w:tc>
          <w:tcPr>
            <w:tcW w:w="6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default" w:ascii="宋体" w:hAnsi="宋体" w:cs="宋体"/>
                <w:i w:val="0"/>
                <w:iCs w:val="0"/>
                <w:color w:val="auto"/>
                <w:sz w:val="21"/>
                <w:szCs w:val="21"/>
                <w:u w:val="none"/>
                <w:lang w:val="en-US"/>
              </w:rPr>
              <w:t>30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2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128270</wp:posOffset>
                  </wp:positionV>
                  <wp:extent cx="589915" cy="475615"/>
                  <wp:effectExtent l="0" t="0" r="635" b="635"/>
                  <wp:wrapNone/>
                  <wp:docPr id="20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配合各种租摆，使用仿真草坪草花、树皮、白石子等材料进行室内植物造景，按面积据实结算。</w:t>
            </w:r>
          </w:p>
        </w:tc>
      </w:tr>
    </w:tbl>
    <w:p>
      <w:pPr>
        <w:pStyle w:val="3"/>
        <w:ind w:left="0" w:leftChars="0" w:firstLine="0" w:firstLineChars="0"/>
        <w:rPr>
          <w:rFonts w:hint="eastAsia" w:hAnsi="宋体" w:cs="宋体"/>
          <w:b/>
          <w:color w:val="auto"/>
          <w:sz w:val="24"/>
        </w:rPr>
      </w:pPr>
    </w:p>
    <w:p>
      <w:pPr>
        <w:pStyle w:val="3"/>
        <w:ind w:firstLine="0" w:firstLineChars="0"/>
        <w:rPr>
          <w:rFonts w:hint="eastAsia"/>
          <w:color w:val="auto"/>
          <w:lang w:val="en-US" w:eastAsia="zh-CN"/>
        </w:rPr>
      </w:pPr>
      <w:r>
        <w:rPr>
          <w:rFonts w:hint="default"/>
          <w:color w:val="auto"/>
          <w:lang w:val="en-US" w:eastAsia="zh-CN"/>
        </w:rPr>
        <w:t>4</w:t>
      </w:r>
      <w:r>
        <w:rPr>
          <w:rFonts w:hint="eastAsia"/>
          <w:color w:val="auto"/>
          <w:lang w:val="en-US" w:eastAsia="zh-CN"/>
        </w:rPr>
        <w:t>.植物养护管理服务</w:t>
      </w:r>
    </w:p>
    <w:tbl>
      <w:tblPr>
        <w:tblStyle w:val="6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5"/>
        <w:gridCol w:w="503"/>
        <w:gridCol w:w="1594"/>
        <w:gridCol w:w="797"/>
        <w:gridCol w:w="212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19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服务项目</w:t>
            </w:r>
          </w:p>
        </w:tc>
        <w:tc>
          <w:tcPr>
            <w:tcW w:w="5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单位</w:t>
            </w:r>
          </w:p>
        </w:tc>
        <w:tc>
          <w:tcPr>
            <w:tcW w:w="15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植物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养护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参考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面积</w:t>
            </w:r>
          </w:p>
        </w:tc>
        <w:tc>
          <w:tcPr>
            <w:tcW w:w="7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单价（元/月/㎡）</w:t>
            </w:r>
          </w:p>
        </w:tc>
        <w:tc>
          <w:tcPr>
            <w:tcW w:w="21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养护管理服务需求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9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植物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养护管理服务费用</w:t>
            </w:r>
          </w:p>
        </w:tc>
        <w:tc>
          <w:tcPr>
            <w:tcW w:w="5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㎡</w:t>
            </w:r>
          </w:p>
        </w:tc>
        <w:tc>
          <w:tcPr>
            <w:tcW w:w="1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11925.59</w:t>
            </w:r>
          </w:p>
        </w:tc>
        <w:tc>
          <w:tcPr>
            <w:tcW w:w="7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12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3"/>
              </w:numP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养护追施肥,腐熟农家肥猪粪、牛粪、油枯等服务工作（含材料费）。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2.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绿地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更换泥炭土、菜园土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种植土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等服务工作（含材料费）。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3.养护追施肥无机化肥：尿素、复合肥等服务工作（含材料费）。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4.植物防病治病等服务工作（含材料费）。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5.大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中小各种型号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乔木修枝、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断头、排危、整形、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支撑、扶正、移栽、补栽等服务工作（含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机具费、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材料费）。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6.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局部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更换草坪等服务工作（因养护原因造成草坪枯萎，草坪由养护公司提供更换；因施工等费非养护原因造成草坪枯萎，由院方承担草坪费用，养护方负责铺设）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。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7.专职的5名管护人员人工费包含在内。</w:t>
            </w:r>
          </w:p>
        </w:tc>
      </w:tr>
    </w:tbl>
    <w:p>
      <w:pPr>
        <w:rPr>
          <w:rFonts w:ascii="宋体" w:hAnsi="宋体"/>
          <w:b/>
          <w:sz w:val="28"/>
        </w:rPr>
      </w:pPr>
    </w:p>
    <w:p>
      <w:pPr>
        <w:rPr>
          <w:rFonts w:ascii="宋体" w:hAnsi="宋体"/>
          <w:sz w:val="28"/>
          <w:lang w:val="zh-CN"/>
        </w:rPr>
      </w:pPr>
      <w:r>
        <w:rPr>
          <w:rFonts w:hint="eastAsia" w:ascii="宋体" w:hAnsi="宋体"/>
          <w:sz w:val="28"/>
          <w:lang w:val="en-US" w:eastAsia="zh-CN"/>
        </w:rPr>
        <w:t>报价公司</w:t>
      </w:r>
      <w:r>
        <w:rPr>
          <w:rFonts w:hint="eastAsia" w:ascii="宋体" w:hAnsi="宋体"/>
          <w:sz w:val="28"/>
          <w:lang w:val="zh-CN"/>
        </w:rPr>
        <w:t>名称：XXXX</w:t>
      </w:r>
    </w:p>
    <w:p>
      <w:pPr>
        <w:rPr>
          <w:rFonts w:ascii="宋体" w:hAnsi="宋体"/>
          <w:bCs/>
          <w:sz w:val="28"/>
          <w:szCs w:val="28"/>
        </w:rPr>
      </w:pPr>
      <w:r>
        <w:rPr>
          <w:rFonts w:hint="eastAsia" w:ascii="宋体" w:hAnsi="宋体"/>
          <w:sz w:val="28"/>
        </w:rPr>
        <w:t>日期：</w:t>
      </w:r>
      <w:r>
        <w:rPr>
          <w:rFonts w:hint="eastAsia" w:ascii="宋体" w:hAnsi="宋体"/>
          <w:bCs/>
          <w:sz w:val="28"/>
        </w:rPr>
        <w:t>20</w:t>
      </w:r>
      <w:r>
        <w:rPr>
          <w:rFonts w:hint="eastAsia" w:ascii="宋体" w:hAnsi="宋体"/>
          <w:bCs/>
          <w:sz w:val="28"/>
          <w:lang w:val="en-US" w:eastAsia="zh-CN"/>
        </w:rPr>
        <w:t>2</w:t>
      </w:r>
      <w:r>
        <w:rPr>
          <w:rFonts w:hint="default" w:ascii="宋体" w:hAnsi="宋体"/>
          <w:bCs/>
          <w:sz w:val="28"/>
          <w:lang w:val="en-US" w:eastAsia="zh-CN"/>
        </w:rPr>
        <w:t>4</w:t>
      </w:r>
      <w:r>
        <w:rPr>
          <w:rFonts w:hint="eastAsia" w:ascii="宋体" w:hAnsi="宋体"/>
          <w:bCs/>
          <w:sz w:val="28"/>
        </w:rPr>
        <w:t>年XX月XX日</w:t>
      </w:r>
    </w:p>
    <w:p>
      <w:pPr>
        <w:pStyle w:val="5"/>
        <w:spacing w:after="0" w:line="240" w:lineRule="auto"/>
        <w:ind w:firstLine="0"/>
      </w:pPr>
      <w:r>
        <w:rPr>
          <w:rFonts w:hint="eastAsia" w:ascii="宋体" w:hAnsi="宋体"/>
          <w:b/>
          <w:sz w:val="28"/>
        </w:rPr>
        <w:t>说明：</w:t>
      </w:r>
      <w:r>
        <w:rPr>
          <w:rFonts w:hint="eastAsia" w:ascii="宋体" w:hAnsi="宋体"/>
          <w:b/>
          <w:sz w:val="28"/>
          <w:lang w:val="en-US" w:eastAsia="zh-CN"/>
        </w:rPr>
        <w:t>报价公司</w:t>
      </w:r>
      <w:r>
        <w:rPr>
          <w:rFonts w:hint="eastAsia" w:ascii="宋体" w:hAnsi="宋体"/>
          <w:b/>
          <w:sz w:val="28"/>
        </w:rPr>
        <w:t>应根据以上表格格式填写分项报价</w:t>
      </w:r>
      <w:r>
        <w:rPr>
          <w:rFonts w:hint="eastAsia" w:ascii="宋体" w:hAnsi="宋体"/>
          <w:b/>
          <w:sz w:val="28"/>
          <w:lang w:val="en-US" w:eastAsia="zh-CN"/>
        </w:rPr>
        <w:t>明细表</w:t>
      </w:r>
      <w:r>
        <w:rPr>
          <w:rFonts w:hint="eastAsia" w:ascii="宋体" w:hAnsi="宋体"/>
          <w:b/>
          <w:sz w:val="28"/>
        </w:rPr>
        <w:t>，报价应包括完成本项目所需的一切费用。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A8E98D"/>
    <w:multiLevelType w:val="singleLevel"/>
    <w:tmpl w:val="F5A8E98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00002E"/>
    <w:multiLevelType w:val="multilevel"/>
    <w:tmpl w:val="0000002E"/>
    <w:lvl w:ilvl="0" w:tentative="0">
      <w:start w:val="1"/>
      <w:numFmt w:val="decimal"/>
      <w:pStyle w:val="4"/>
      <w:lvlText w:val="第%1章"/>
      <w:lvlJc w:val="left"/>
      <w:pPr>
        <w:ind w:left="283" w:hanging="425"/>
      </w:pPr>
      <w:rPr>
        <w:rFonts w:hint="default" w:ascii="Times New Roman" w:hAnsi="Times New Roman" w:eastAsia="宋体" w:cs="Times New Roman"/>
        <w:b/>
        <w:i w:val="0"/>
        <w:sz w:val="32"/>
        <w:szCs w:val="32"/>
      </w:rPr>
    </w:lvl>
    <w:lvl w:ilvl="1" w:tentative="0">
      <w:start w:val="1"/>
      <w:numFmt w:val="decimal"/>
      <w:suff w:val="nothing"/>
      <w:lvlText w:val="%1.%2"/>
      <w:lvlJc w:val="left"/>
      <w:pPr>
        <w:ind w:left="567" w:hanging="567"/>
      </w:pPr>
      <w:rPr>
        <w:rFonts w:hint="default" w:ascii="Times New Roman" w:hAnsi="Times New Roman" w:eastAsia="宋体" w:cs="Times New Roman"/>
        <w:b/>
        <w:i w:val="0"/>
        <w:color w:val="auto"/>
        <w:sz w:val="28"/>
        <w:szCs w:val="28"/>
      </w:rPr>
    </w:lvl>
    <w:lvl w:ilvl="2" w:tentative="0">
      <w:start w:val="1"/>
      <w:numFmt w:val="decimal"/>
      <w:suff w:val="space"/>
      <w:lvlText w:val="%1.%2.%3"/>
      <w:lvlJc w:val="left"/>
      <w:pPr>
        <w:ind w:left="1197" w:hanging="567"/>
      </w:pPr>
      <w:rPr>
        <w:rFonts w:hint="default" w:ascii="Times New Roman" w:hAnsi="Times New Roman" w:eastAsia="宋体" w:cs="Times New Roman"/>
        <w:b/>
        <w:i w:val="0"/>
        <w:sz w:val="28"/>
      </w:rPr>
    </w:lvl>
    <w:lvl w:ilvl="3" w:tentative="0">
      <w:start w:val="1"/>
      <w:numFmt w:val="decimal"/>
      <w:suff w:val="nothing"/>
      <w:lvlText w:val="%1.%2.%3.%4"/>
      <w:lvlJc w:val="left"/>
      <w:pPr>
        <w:ind w:left="708" w:hanging="708"/>
      </w:pPr>
      <w:rPr>
        <w:rFonts w:hint="default" w:ascii="Times New Roman" w:hAnsi="Times New Roman" w:eastAsia="宋体" w:cs="Times New Roman"/>
        <w:b/>
        <w:i w:val="0"/>
        <w:sz w:val="28"/>
      </w:rPr>
    </w:lvl>
    <w:lvl w:ilvl="4" w:tentative="0">
      <w:start w:val="1"/>
      <w:numFmt w:val="decimal"/>
      <w:lvlText w:val="%1.%2.%3.%4.%5"/>
      <w:lvlJc w:val="left"/>
      <w:pPr>
        <w:ind w:left="2409" w:hanging="850"/>
      </w:pPr>
      <w:rPr>
        <w:rFonts w:hint="default" w:ascii="Times New Roman" w:hAnsi="Times New Roman" w:cs="Times New Roman"/>
      </w:rPr>
    </w:lvl>
    <w:lvl w:ilvl="5" w:tentative="0">
      <w:start w:val="1"/>
      <w:numFmt w:val="decimal"/>
      <w:lvlText w:val="%1.%2.%3.%4.%5.%6"/>
      <w:lvlJc w:val="left"/>
      <w:pPr>
        <w:ind w:left="3118" w:hanging="1134"/>
      </w:pPr>
    </w:lvl>
    <w:lvl w:ilvl="6" w:tentative="0">
      <w:start w:val="1"/>
      <w:numFmt w:val="decimal"/>
      <w:lvlText w:val="%1.%2.%3.%4.%5.%6.%7"/>
      <w:lvlJc w:val="left"/>
      <w:pPr>
        <w:ind w:left="3685" w:hanging="1276"/>
      </w:pPr>
    </w:lvl>
    <w:lvl w:ilvl="7" w:tentative="0">
      <w:start w:val="1"/>
      <w:numFmt w:val="decimal"/>
      <w:lvlText w:val="%1.%2.%3.%4.%5.%6.%7.%8"/>
      <w:lvlJc w:val="left"/>
      <w:pPr>
        <w:ind w:left="4252" w:hanging="1418"/>
      </w:pPr>
    </w:lvl>
    <w:lvl w:ilvl="8" w:tentative="0">
      <w:start w:val="1"/>
      <w:numFmt w:val="decimal"/>
      <w:lvlText w:val="%1.%2.%3.%4.%5.%6.%7.%8.%9"/>
      <w:lvlJc w:val="left"/>
      <w:pPr>
        <w:ind w:left="4960" w:hanging="1700"/>
      </w:pPr>
    </w:lvl>
  </w:abstractNum>
  <w:abstractNum w:abstractNumId="2">
    <w:nsid w:val="1639CBBE"/>
    <w:multiLevelType w:val="singleLevel"/>
    <w:tmpl w:val="1639CBB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zNzQzYTU0MmJhYWI2Njk0NDJlMWY4YmExM2VhZWUifQ=="/>
  </w:docVars>
  <w:rsids>
    <w:rsidRoot w:val="48173E2B"/>
    <w:rsid w:val="03CB26C0"/>
    <w:rsid w:val="09A74B85"/>
    <w:rsid w:val="13240FD6"/>
    <w:rsid w:val="1CA21CE6"/>
    <w:rsid w:val="1E86781E"/>
    <w:rsid w:val="22DA0CEA"/>
    <w:rsid w:val="26B042D5"/>
    <w:rsid w:val="2D315959"/>
    <w:rsid w:val="2F81381C"/>
    <w:rsid w:val="2F9D43CB"/>
    <w:rsid w:val="36E713A1"/>
    <w:rsid w:val="38446215"/>
    <w:rsid w:val="3CAD2CEC"/>
    <w:rsid w:val="40B77DDE"/>
    <w:rsid w:val="45334553"/>
    <w:rsid w:val="48173E2B"/>
    <w:rsid w:val="58672310"/>
    <w:rsid w:val="676B1934"/>
    <w:rsid w:val="6C8B60B8"/>
    <w:rsid w:val="727B26FC"/>
    <w:rsid w:val="73D72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400" w:lineRule="exact"/>
      <w:jc w:val="center"/>
      <w:outlineLvl w:val="0"/>
    </w:pPr>
    <w:rPr>
      <w:rFonts w:ascii="宋体" w:hAnsi="宋体" w:cs="宋体"/>
      <w:b/>
      <w:bCs/>
      <w:spacing w:val="-20"/>
      <w:kern w:val="44"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unhideWhenUsed/>
    <w:qFormat/>
    <w:uiPriority w:val="99"/>
    <w:pPr>
      <w:spacing w:after="120"/>
    </w:pPr>
    <w:rPr>
      <w:szCs w:val="22"/>
    </w:rPr>
  </w:style>
  <w:style w:type="paragraph" w:styleId="3">
    <w:name w:val="Body Text First Indent"/>
    <w:basedOn w:val="2"/>
    <w:qFormat/>
    <w:uiPriority w:val="0"/>
    <w:pPr>
      <w:spacing w:after="0"/>
      <w:ind w:firstLine="420" w:firstLineChars="100"/>
    </w:pPr>
    <w:rPr>
      <w:rFonts w:ascii="Arial" w:hAnsi="Arial"/>
      <w:color w:val="000000"/>
    </w:rPr>
  </w:style>
  <w:style w:type="paragraph" w:styleId="5">
    <w:name w:val="Normal Indent"/>
    <w:basedOn w:val="1"/>
    <w:semiHidden/>
    <w:unhideWhenUsed/>
    <w:qFormat/>
    <w:uiPriority w:val="0"/>
    <w:pPr>
      <w:spacing w:after="180" w:line="304" w:lineRule="auto"/>
      <w:ind w:firstLine="420"/>
    </w:pPr>
    <w:rPr>
      <w:rFonts w:asciiTheme="minorHAnsi" w:hAnsiTheme="minorHAnsi" w:eastAsiaTheme="minorEastAsia" w:cstheme="minorBidi"/>
    </w:r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character" w:customStyle="1" w:styleId="9">
    <w:name w:val="font11"/>
    <w:basedOn w:val="7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10">
    <w:name w:val="font0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2023-11-27T06:23:00Z</dcterms:created>
  <dc:creator>waiwang</dc:creator>
  <cp:lastModifiedBy>Administrator</cp:lastModifiedBy>
  <dcterms:modified xsi:type="dcterms:W3CDTF">2024-08-09T01:25:53Z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169DBE2CF4F340F89850851D21F8170E</vt:lpwstr>
  </property>
</Properties>
</file>