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_GBK" w:hAnsi="Calibri" w:eastAsia="方正小标宋_GBK" w:cs="Times New Roman"/>
          <w:color w:val="000000"/>
          <w:sz w:val="44"/>
          <w:szCs w:val="44"/>
        </w:rPr>
      </w:pPr>
      <w:r>
        <w:rPr>
          <w:rFonts w:hint="eastAsia" w:ascii="方正小标宋_GBK" w:hAnsi="Calibri" w:eastAsia="方正小标宋_GBK" w:cs="Times New Roman"/>
          <w:color w:val="000000"/>
          <w:sz w:val="44"/>
          <w:szCs w:val="44"/>
        </w:rPr>
        <w:t>报价函</w:t>
      </w:r>
    </w:p>
    <w:p>
      <w:pPr>
        <w:spacing w:line="560" w:lineRule="exact"/>
        <w:jc w:val="left"/>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成都市第二人民医院：</w:t>
      </w:r>
    </w:p>
    <w:p>
      <w:pPr>
        <w:spacing w:line="560" w:lineRule="exact"/>
        <w:ind w:firstLine="640" w:firstLineChars="200"/>
        <w:jc w:val="left"/>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根据成都市第二人民医院基于一种皮肤疾病（特应性皮炎或银屑病或玫瑰痤疮）皮损的图像信息诊断系统构建服务需求，我单位仔细研究，具体报价如下：</w:t>
      </w:r>
    </w:p>
    <w:p>
      <w:pPr>
        <w:spacing w:line="560" w:lineRule="exact"/>
        <w:ind w:firstLine="640" w:firstLineChars="200"/>
        <w:jc w:val="left"/>
        <w:rPr>
          <w:rFonts w:ascii="方正仿宋_GBK" w:hAnsi="方正仿宋_GBK" w:eastAsia="方正仿宋_GBK" w:cs="方正仿宋_GBK"/>
          <w:color w:val="000000"/>
          <w:sz w:val="32"/>
          <w:szCs w:val="32"/>
        </w:rPr>
      </w:pPr>
    </w:p>
    <w:tbl>
      <w:tblPr>
        <w:tblStyle w:val="3"/>
        <w:tblW w:w="8400" w:type="dxa"/>
        <w:tblInd w:w="113" w:type="dxa"/>
        <w:tblLayout w:type="fixed"/>
        <w:tblCellMar>
          <w:top w:w="0" w:type="dxa"/>
          <w:left w:w="108" w:type="dxa"/>
          <w:bottom w:w="0" w:type="dxa"/>
          <w:right w:w="108" w:type="dxa"/>
        </w:tblCellMar>
      </w:tblPr>
      <w:tblGrid>
        <w:gridCol w:w="578"/>
        <w:gridCol w:w="1283"/>
        <w:gridCol w:w="3573"/>
        <w:gridCol w:w="885"/>
        <w:gridCol w:w="1024"/>
        <w:gridCol w:w="1057"/>
      </w:tblGrid>
      <w:tr>
        <w:tblPrEx>
          <w:tblCellMar>
            <w:top w:w="0" w:type="dxa"/>
            <w:left w:w="108" w:type="dxa"/>
            <w:bottom w:w="0" w:type="dxa"/>
            <w:right w:w="108" w:type="dxa"/>
          </w:tblCellMar>
        </w:tblPrEx>
        <w:trPr>
          <w:trHeight w:val="644" w:hRule="atLeast"/>
        </w:trPr>
        <w:tc>
          <w:tcPr>
            <w:tcW w:w="57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序号</w:t>
            </w:r>
          </w:p>
        </w:tc>
        <w:tc>
          <w:tcPr>
            <w:tcW w:w="128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名称</w:t>
            </w:r>
          </w:p>
        </w:tc>
        <w:tc>
          <w:tcPr>
            <w:tcW w:w="3573"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参数</w:t>
            </w:r>
          </w:p>
        </w:tc>
        <w:tc>
          <w:tcPr>
            <w:tcW w:w="885"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方正仿宋_GBK" w:cs="Times New Roman"/>
                <w:b/>
                <w:bCs/>
                <w:color w:val="000000"/>
                <w:kern w:val="0"/>
                <w:sz w:val="18"/>
                <w:szCs w:val="18"/>
              </w:rPr>
            </w:pPr>
            <w:r>
              <w:rPr>
                <w:rFonts w:hint="eastAsia" w:ascii="Times New Roman" w:hAnsi="Times New Roman" w:eastAsia="方正仿宋_GBK" w:cs="Times New Roman"/>
                <w:b/>
                <w:bCs/>
                <w:color w:val="000000"/>
                <w:kern w:val="0"/>
                <w:sz w:val="18"/>
                <w:szCs w:val="18"/>
              </w:rPr>
              <w:t>单价（元）</w:t>
            </w:r>
          </w:p>
        </w:tc>
        <w:tc>
          <w:tcPr>
            <w:tcW w:w="1024"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方正仿宋_GBK" w:cs="Times New Roman"/>
                <w:b/>
                <w:bCs/>
                <w:color w:val="000000"/>
                <w:kern w:val="0"/>
                <w:sz w:val="18"/>
                <w:szCs w:val="18"/>
              </w:rPr>
            </w:pPr>
            <w:r>
              <w:rPr>
                <w:rFonts w:hint="eastAsia" w:ascii="Times New Roman" w:hAnsi="Times New Roman" w:eastAsia="方正仿宋_GBK" w:cs="Times New Roman"/>
                <w:b/>
                <w:bCs/>
                <w:color w:val="000000"/>
                <w:kern w:val="0"/>
                <w:sz w:val="18"/>
                <w:szCs w:val="18"/>
              </w:rPr>
              <w:t>预估数量（项）</w:t>
            </w:r>
          </w:p>
        </w:tc>
        <w:tc>
          <w:tcPr>
            <w:tcW w:w="1057"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方正仿宋_GBK" w:cs="Times New Roman"/>
                <w:b/>
                <w:bCs/>
                <w:color w:val="000000"/>
                <w:kern w:val="0"/>
                <w:sz w:val="18"/>
                <w:szCs w:val="18"/>
              </w:rPr>
            </w:pPr>
            <w:r>
              <w:rPr>
                <w:rFonts w:hint="eastAsia" w:ascii="Times New Roman" w:hAnsi="Times New Roman" w:eastAsia="方正仿宋_GBK" w:cs="Times New Roman"/>
                <w:b/>
                <w:bCs/>
                <w:color w:val="000000"/>
                <w:kern w:val="0"/>
                <w:sz w:val="18"/>
                <w:szCs w:val="18"/>
              </w:rPr>
              <w:t>总价（元）</w:t>
            </w:r>
          </w:p>
        </w:tc>
      </w:tr>
      <w:tr>
        <w:tblPrEx>
          <w:tblCellMar>
            <w:top w:w="0" w:type="dxa"/>
            <w:left w:w="108" w:type="dxa"/>
            <w:bottom w:w="0" w:type="dxa"/>
            <w:right w:w="108" w:type="dxa"/>
          </w:tblCellMar>
        </w:tblPrEx>
        <w:trPr>
          <w:trHeight w:val="90" w:hRule="atLeast"/>
        </w:trPr>
        <w:tc>
          <w:tcPr>
            <w:tcW w:w="578"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color w:val="000000"/>
                <w:kern w:val="0"/>
                <w:sz w:val="21"/>
                <w:szCs w:val="21"/>
              </w:rPr>
              <w:t>1</w:t>
            </w:r>
          </w:p>
        </w:tc>
        <w:tc>
          <w:tcPr>
            <w:tcW w:w="128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方正仿宋_GB2312" w:hAnsi="方正仿宋_GB2312" w:eastAsia="方正仿宋_GB2312" w:cs="方正仿宋_GB2312"/>
                <w:color w:val="000000"/>
                <w:kern w:val="0"/>
                <w:sz w:val="21"/>
                <w:szCs w:val="21"/>
              </w:rPr>
            </w:pPr>
            <w:r>
              <w:rPr>
                <w:rFonts w:hint="eastAsia" w:ascii="方正仿宋_GB2312" w:hAnsi="方正仿宋_GB2312" w:eastAsia="方正仿宋_GB2312" w:cs="方正仿宋_GB2312"/>
                <w:color w:val="000000"/>
                <w:kern w:val="0"/>
                <w:sz w:val="21"/>
                <w:szCs w:val="21"/>
              </w:rPr>
              <w:t>构建基于一种皮肤疾病（特应性皮炎或银屑病或玫瑰痤疮）皮损的图像信息诊断系统</w:t>
            </w:r>
          </w:p>
        </w:tc>
        <w:tc>
          <w:tcPr>
            <w:tcW w:w="3573"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方正仿宋_GB2312"/>
                <w:color w:val="000000"/>
                <w:kern w:val="0"/>
                <w:sz w:val="21"/>
                <w:szCs w:val="21"/>
                <w:highlight w:val="none"/>
              </w:rPr>
            </w:pPr>
            <w:r>
              <w:rPr>
                <w:rFonts w:hint="eastAsia" w:ascii="宋体" w:hAnsi="宋体" w:eastAsia="宋体" w:cs="方正仿宋_GB2312"/>
                <w:color w:val="000000"/>
                <w:kern w:val="0"/>
                <w:sz w:val="21"/>
                <w:szCs w:val="21"/>
                <w:highlight w:val="none"/>
              </w:rPr>
              <w:t>（1）基于</w:t>
            </w:r>
            <w:r>
              <w:rPr>
                <w:rFonts w:hint="eastAsia" w:ascii="宋体" w:hAnsi="宋体" w:eastAsia="宋体" w:cs="方正仿宋_GB2312"/>
                <w:color w:val="000000"/>
                <w:kern w:val="0"/>
                <w:sz w:val="21"/>
                <w:szCs w:val="21"/>
                <w:highlight w:val="none"/>
                <w:lang w:val="en-US" w:eastAsia="zh-CN"/>
              </w:rPr>
              <w:t>一种皮肤疾病（</w:t>
            </w:r>
            <w:r>
              <w:rPr>
                <w:rFonts w:hint="eastAsia" w:ascii="宋体" w:hAnsi="宋体" w:eastAsia="宋体" w:cs="方正仿宋_GB2312"/>
                <w:color w:val="000000"/>
                <w:kern w:val="0"/>
                <w:sz w:val="21"/>
                <w:szCs w:val="21"/>
                <w:highlight w:val="none"/>
              </w:rPr>
              <w:t>特应性皮炎</w:t>
            </w:r>
            <w:r>
              <w:rPr>
                <w:rFonts w:hint="eastAsia" w:ascii="宋体" w:hAnsi="宋体" w:eastAsia="宋体" w:cs="方正仿宋_GB2312"/>
                <w:color w:val="000000"/>
                <w:kern w:val="0"/>
                <w:sz w:val="21"/>
                <w:szCs w:val="21"/>
                <w:highlight w:val="none"/>
                <w:lang w:val="en-US" w:eastAsia="zh-CN"/>
              </w:rPr>
              <w:t>或</w:t>
            </w:r>
            <w:r>
              <w:rPr>
                <w:rFonts w:hint="eastAsia" w:ascii="宋体" w:hAnsi="宋体" w:eastAsia="宋体" w:cs="方正仿宋_GB2312"/>
                <w:color w:val="000000"/>
                <w:kern w:val="0"/>
                <w:sz w:val="21"/>
                <w:szCs w:val="21"/>
                <w:highlight w:val="none"/>
              </w:rPr>
              <w:t>银屑病</w:t>
            </w:r>
            <w:r>
              <w:rPr>
                <w:rFonts w:hint="eastAsia" w:ascii="宋体" w:hAnsi="宋体" w:eastAsia="宋体" w:cs="方正仿宋_GB2312"/>
                <w:color w:val="000000"/>
                <w:kern w:val="0"/>
                <w:sz w:val="21"/>
                <w:szCs w:val="21"/>
                <w:highlight w:val="none"/>
                <w:lang w:val="en-US" w:eastAsia="zh-CN"/>
              </w:rPr>
              <w:t>或</w:t>
            </w:r>
            <w:r>
              <w:rPr>
                <w:rFonts w:hint="eastAsia" w:ascii="宋体" w:hAnsi="宋体" w:eastAsia="宋体" w:cs="方正仿宋_GB2312"/>
                <w:color w:val="000000"/>
                <w:kern w:val="0"/>
                <w:sz w:val="21"/>
                <w:szCs w:val="21"/>
                <w:highlight w:val="none"/>
              </w:rPr>
              <w:t>玫瑰痤疮</w:t>
            </w:r>
            <w:r>
              <w:rPr>
                <w:rFonts w:hint="eastAsia" w:ascii="宋体" w:hAnsi="宋体" w:eastAsia="宋体" w:cs="方正仿宋_GB2312"/>
                <w:color w:val="000000"/>
                <w:kern w:val="0"/>
                <w:sz w:val="21"/>
                <w:szCs w:val="21"/>
                <w:highlight w:val="none"/>
                <w:lang w:eastAsia="zh-CN"/>
              </w:rPr>
              <w:t>）</w:t>
            </w:r>
            <w:r>
              <w:rPr>
                <w:rFonts w:hint="eastAsia" w:ascii="宋体" w:hAnsi="宋体" w:eastAsia="宋体" w:cs="方正仿宋_GB2312"/>
                <w:color w:val="000000"/>
                <w:kern w:val="0"/>
                <w:sz w:val="21"/>
                <w:szCs w:val="21"/>
                <w:highlight w:val="none"/>
              </w:rPr>
              <w:t>皮损的图像信息（包括皮肤镜、皮肤CT、VISIA、OCT等皮肤影像数据）构建</w:t>
            </w:r>
            <w:r>
              <w:rPr>
                <w:rFonts w:hint="eastAsia" w:ascii="宋体" w:hAnsi="宋体" w:eastAsia="宋体" w:cs="宋体"/>
                <w:color w:val="000000"/>
                <w:kern w:val="0"/>
                <w:sz w:val="21"/>
                <w:szCs w:val="21"/>
                <w:highlight w:val="none"/>
                <w:lang w:val="en-US" w:eastAsia="zh-CN"/>
              </w:rPr>
              <w:t>一种</w:t>
            </w:r>
            <w:r>
              <w:rPr>
                <w:rFonts w:hint="eastAsia" w:ascii="宋体" w:hAnsi="宋体" w:eastAsia="宋体" w:cs="方正仿宋_GB2312"/>
                <w:color w:val="000000"/>
                <w:kern w:val="0"/>
                <w:sz w:val="21"/>
                <w:szCs w:val="21"/>
                <w:highlight w:val="none"/>
              </w:rPr>
              <w:t>自动诊断模型，并对模型进行验证，诊断</w:t>
            </w:r>
            <w:r>
              <w:rPr>
                <w:rFonts w:hint="eastAsia" w:ascii="宋体" w:hAnsi="宋体" w:eastAsia="宋体" w:cs="宋体"/>
                <w:color w:val="000000"/>
                <w:kern w:val="0"/>
                <w:sz w:val="21"/>
                <w:szCs w:val="21"/>
                <w:highlight w:val="none"/>
              </w:rPr>
              <w:t>率需至少达</w:t>
            </w:r>
            <w:r>
              <w:rPr>
                <w:rFonts w:hint="eastAsia" w:ascii="宋体" w:hAnsi="宋体" w:eastAsia="宋体" w:cs="___WRD_EMBED_SUB_49"/>
                <w:color w:val="000000"/>
                <w:kern w:val="0"/>
                <w:sz w:val="21"/>
                <w:szCs w:val="21"/>
                <w:highlight w:val="none"/>
              </w:rPr>
              <w:t>到</w:t>
            </w:r>
            <w:r>
              <w:rPr>
                <w:rFonts w:hint="eastAsia" w:ascii="宋体" w:hAnsi="宋体" w:eastAsia="宋体" w:cs="宋体"/>
                <w:color w:val="000000"/>
                <w:kern w:val="0"/>
                <w:sz w:val="21"/>
                <w:szCs w:val="21"/>
                <w:highlight w:val="none"/>
              </w:rPr>
              <w:t>9</w:t>
            </w:r>
            <w:r>
              <w:rPr>
                <w:rFonts w:ascii="宋体" w:hAnsi="宋体" w:eastAsia="宋体" w:cs="宋体"/>
                <w:color w:val="000000"/>
                <w:kern w:val="0"/>
                <w:sz w:val="21"/>
                <w:szCs w:val="21"/>
                <w:highlight w:val="none"/>
              </w:rPr>
              <w:t>0%</w:t>
            </w:r>
            <w:r>
              <w:rPr>
                <w:rFonts w:hint="eastAsia" w:ascii="宋体" w:hAnsi="宋体" w:eastAsia="宋体" w:cs="宋体"/>
                <w:color w:val="000000"/>
                <w:kern w:val="0"/>
                <w:sz w:val="21"/>
                <w:szCs w:val="21"/>
                <w:highlight w:val="none"/>
              </w:rPr>
              <w:t>以上</w:t>
            </w:r>
            <w:r>
              <w:rPr>
                <w:rFonts w:hint="eastAsia" w:ascii="宋体" w:hAnsi="宋体" w:eastAsia="宋体" w:cs="方正仿宋_GB2312"/>
                <w:color w:val="000000"/>
                <w:kern w:val="0"/>
                <w:sz w:val="21"/>
                <w:szCs w:val="21"/>
                <w:highlight w:val="none"/>
              </w:rPr>
              <w:t>；</w:t>
            </w:r>
          </w:p>
          <w:p>
            <w:pPr>
              <w:widowControl/>
              <w:jc w:val="left"/>
              <w:rPr>
                <w:rFonts w:ascii="宋体" w:hAnsi="宋体" w:eastAsia="宋体" w:cs="方正仿宋_GB2312"/>
                <w:color w:val="000000"/>
                <w:kern w:val="0"/>
                <w:sz w:val="21"/>
                <w:szCs w:val="21"/>
                <w:highlight w:val="none"/>
              </w:rPr>
            </w:pPr>
            <w:r>
              <w:rPr>
                <w:rFonts w:hint="eastAsia" w:ascii="宋体" w:hAnsi="宋体" w:eastAsia="宋体" w:cs="方正仿宋_GB2312"/>
                <w:color w:val="000000"/>
                <w:kern w:val="0"/>
                <w:sz w:val="21"/>
                <w:szCs w:val="21"/>
                <w:highlight w:val="none"/>
              </w:rPr>
              <w:t>（2）用于皮肤病自动诊断系统特征选择算法与关键特征可视化算法设计，将用于自然语言处理框架的注意力机制引入视觉模型中，改进注意力机制使其适用于图像信息输入特征，并以无监督学习形式提取关键特征，实现重点关注区域提取，进而可根据重点区域的特征分析对治疗中疾病的演变进行特征分析，生成慢病管理系统；</w:t>
            </w:r>
          </w:p>
          <w:p>
            <w:pPr>
              <w:widowControl/>
              <w:jc w:val="left"/>
              <w:rPr>
                <w:rFonts w:ascii="宋体" w:hAnsi="宋体" w:eastAsia="宋体" w:cs="方正仿宋_GB2312"/>
                <w:color w:val="000000"/>
                <w:kern w:val="0"/>
                <w:sz w:val="21"/>
                <w:szCs w:val="21"/>
                <w:highlight w:val="none"/>
              </w:rPr>
            </w:pPr>
            <w:r>
              <w:rPr>
                <w:rFonts w:hint="eastAsia" w:ascii="宋体" w:hAnsi="宋体" w:eastAsia="宋体" w:cs="方正仿宋_GB2312"/>
                <w:color w:val="000000"/>
                <w:kern w:val="0"/>
                <w:sz w:val="21"/>
                <w:szCs w:val="21"/>
                <w:highlight w:val="none"/>
              </w:rPr>
              <w:t>（3）利用迁移学习技术训练深度学习框架实现疾病的分类诊断，同时提出基于解编码器与注意力机制的端到端图像文本自动生成网络，使模型输出疾病类别标签同时可以自动生成相应诊断报告；</w:t>
            </w:r>
          </w:p>
          <w:p>
            <w:pPr>
              <w:widowControl/>
              <w:jc w:val="left"/>
              <w:rPr>
                <w:rFonts w:hint="eastAsia" w:ascii="宋体" w:hAnsi="宋体" w:eastAsia="宋体" w:cs="方正仿宋_GB2312"/>
                <w:color w:val="000000"/>
                <w:kern w:val="0"/>
                <w:sz w:val="21"/>
                <w:szCs w:val="21"/>
                <w:highlight w:val="none"/>
              </w:rPr>
            </w:pPr>
            <w:r>
              <w:rPr>
                <w:rFonts w:hint="eastAsia" w:ascii="宋体" w:hAnsi="宋体" w:eastAsia="宋体" w:cs="方正仿宋_GB2312"/>
                <w:color w:val="000000"/>
                <w:kern w:val="0"/>
                <w:sz w:val="21"/>
                <w:szCs w:val="21"/>
                <w:highlight w:val="none"/>
              </w:rPr>
              <w:t>（4）皮肤病自动诊断系统应用软件开发（P</w:t>
            </w:r>
            <w:r>
              <w:rPr>
                <w:rFonts w:ascii="宋体" w:hAnsi="宋体" w:eastAsia="宋体" w:cs="方正仿宋_GB2312"/>
                <w:color w:val="000000"/>
                <w:kern w:val="0"/>
                <w:sz w:val="21"/>
                <w:szCs w:val="21"/>
                <w:highlight w:val="none"/>
              </w:rPr>
              <w:t>C</w:t>
            </w:r>
            <w:r>
              <w:rPr>
                <w:rFonts w:hint="eastAsia" w:ascii="宋体" w:hAnsi="宋体" w:eastAsia="宋体" w:cs="方正仿宋_GB2312"/>
                <w:color w:val="000000"/>
                <w:kern w:val="0"/>
                <w:sz w:val="21"/>
                <w:szCs w:val="21"/>
                <w:highlight w:val="none"/>
              </w:rPr>
              <w:t>端和移动端）；</w:t>
            </w:r>
          </w:p>
          <w:p>
            <w:pPr>
              <w:widowControl/>
              <w:jc w:val="left"/>
              <w:rPr>
                <w:rFonts w:hint="eastAsia" w:ascii="宋体" w:hAnsi="宋体" w:eastAsia="宋体" w:cs="方正仿宋_GB2312"/>
                <w:color w:val="000000"/>
                <w:kern w:val="0"/>
                <w:sz w:val="21"/>
                <w:szCs w:val="21"/>
              </w:rPr>
            </w:pPr>
            <w:r>
              <w:rPr>
                <w:rFonts w:hint="eastAsia" w:ascii="宋体" w:hAnsi="宋体" w:eastAsia="宋体" w:cs="方正仿宋_GB2312"/>
                <w:color w:val="000000"/>
                <w:kern w:val="0"/>
                <w:sz w:val="21"/>
                <w:szCs w:val="21"/>
                <w:highlight w:val="none"/>
              </w:rPr>
              <w:t>（</w:t>
            </w:r>
            <w:r>
              <w:rPr>
                <w:rFonts w:hint="eastAsia" w:ascii="宋体" w:hAnsi="宋体" w:eastAsia="宋体" w:cs="方正仿宋_GB2312"/>
                <w:color w:val="000000"/>
                <w:kern w:val="0"/>
                <w:sz w:val="21"/>
                <w:szCs w:val="21"/>
                <w:highlight w:val="none"/>
                <w:lang w:val="en-US" w:eastAsia="zh-CN"/>
              </w:rPr>
              <w:t>5</w:t>
            </w:r>
            <w:r>
              <w:rPr>
                <w:rFonts w:hint="eastAsia" w:ascii="宋体" w:hAnsi="宋体" w:eastAsia="宋体" w:cs="方正仿宋_GB2312"/>
                <w:color w:val="000000"/>
                <w:kern w:val="0"/>
                <w:sz w:val="21"/>
                <w:szCs w:val="21"/>
                <w:highlight w:val="none"/>
              </w:rPr>
              <w:t>）</w:t>
            </w:r>
            <w:r>
              <w:rPr>
                <w:rFonts w:hint="eastAsia" w:ascii="宋体" w:hAnsi="宋体" w:eastAsia="宋体" w:cs="方正仿宋_GB2312"/>
                <w:color w:val="000000"/>
                <w:kern w:val="0"/>
                <w:sz w:val="21"/>
                <w:szCs w:val="21"/>
                <w:highlight w:val="none"/>
                <w:lang w:val="en-US" w:eastAsia="zh-CN"/>
              </w:rPr>
              <w:t>每种疾病</w:t>
            </w:r>
            <w:bookmarkStart w:id="0" w:name="_GoBack"/>
            <w:bookmarkEnd w:id="0"/>
            <w:r>
              <w:rPr>
                <w:rFonts w:hint="eastAsia" w:ascii="宋体" w:hAnsi="宋体" w:eastAsia="宋体" w:cs="方正仿宋_GB2312"/>
                <w:color w:val="000000"/>
                <w:kern w:val="0"/>
                <w:sz w:val="21"/>
                <w:szCs w:val="21"/>
                <w:highlight w:val="none"/>
              </w:rPr>
              <w:t>分析图片数量</w:t>
            </w:r>
            <w:r>
              <w:rPr>
                <w:rFonts w:hint="eastAsia" w:ascii="宋体" w:hAnsi="宋体" w:eastAsia="宋体" w:cs="方正仿宋_GB2312"/>
                <w:color w:val="000000"/>
                <w:kern w:val="0"/>
                <w:sz w:val="21"/>
                <w:szCs w:val="21"/>
                <w:highlight w:val="none"/>
                <w:lang w:val="en-US" w:eastAsia="zh-CN"/>
              </w:rPr>
              <w:t>不少于</w:t>
            </w:r>
            <w:r>
              <w:rPr>
                <w:rFonts w:hint="eastAsia" w:ascii="宋体" w:hAnsi="宋体" w:eastAsia="宋体" w:cs="方正仿宋_GB2312"/>
                <w:color w:val="000000"/>
                <w:kern w:val="0"/>
                <w:sz w:val="21"/>
                <w:szCs w:val="21"/>
                <w:highlight w:val="none"/>
              </w:rPr>
              <w:t>5000张</w:t>
            </w:r>
            <w:r>
              <w:rPr>
                <w:rFonts w:hint="eastAsia" w:ascii="宋体" w:hAnsi="宋体" w:eastAsia="宋体" w:cs="方正仿宋_GB2312"/>
                <w:color w:val="000000"/>
                <w:kern w:val="0"/>
                <w:sz w:val="21"/>
                <w:szCs w:val="21"/>
                <w:highlight w:val="none"/>
                <w:lang w:eastAsia="zh-CN"/>
              </w:rPr>
              <w:t>。</w:t>
            </w:r>
          </w:p>
        </w:tc>
        <w:tc>
          <w:tcPr>
            <w:tcW w:w="885" w:type="dxa"/>
            <w:tcBorders>
              <w:top w:val="single" w:color="auto" w:sz="4" w:space="0"/>
              <w:left w:val="nil"/>
              <w:bottom w:val="single" w:color="auto" w:sz="4" w:space="0"/>
              <w:right w:val="single" w:color="auto" w:sz="4" w:space="0"/>
            </w:tcBorders>
            <w:vAlign w:val="center"/>
          </w:tcPr>
          <w:p>
            <w:pPr>
              <w:widowControl/>
              <w:jc w:val="left"/>
              <w:rPr>
                <w:rFonts w:ascii="方正仿宋_GB2312" w:hAnsi="方正仿宋_GB2312" w:eastAsia="方正仿宋_GB2312" w:cs="方正仿宋_GB2312"/>
                <w:sz w:val="21"/>
                <w:szCs w:val="21"/>
              </w:rPr>
            </w:pPr>
          </w:p>
        </w:tc>
        <w:tc>
          <w:tcPr>
            <w:tcW w:w="1024"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color w:val="000000"/>
                <w:kern w:val="0"/>
                <w:sz w:val="21"/>
                <w:szCs w:val="21"/>
                <w:lang w:val="en-US" w:eastAsia="zh-CN"/>
              </w:rPr>
              <w:t>1</w:t>
            </w:r>
          </w:p>
        </w:tc>
        <w:tc>
          <w:tcPr>
            <w:tcW w:w="1057"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方正仿宋_GBK" w:cs="Times New Roman"/>
                <w:sz w:val="18"/>
                <w:szCs w:val="18"/>
              </w:rPr>
            </w:pPr>
          </w:p>
        </w:tc>
      </w:tr>
      <w:tr>
        <w:tblPrEx>
          <w:tblCellMar>
            <w:top w:w="0" w:type="dxa"/>
            <w:left w:w="108" w:type="dxa"/>
            <w:bottom w:w="0" w:type="dxa"/>
            <w:right w:w="108" w:type="dxa"/>
          </w:tblCellMar>
        </w:tblPrEx>
        <w:trPr>
          <w:trHeight w:val="521" w:hRule="atLeast"/>
        </w:trPr>
        <w:tc>
          <w:tcPr>
            <w:tcW w:w="7343"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方正仿宋_GBK" w:cs="Times New Roman"/>
                <w:sz w:val="18"/>
                <w:szCs w:val="18"/>
                <w:lang w:eastAsia="zh-Hans"/>
              </w:rPr>
            </w:pPr>
            <w:r>
              <w:rPr>
                <w:rFonts w:hint="eastAsia" w:ascii="Times New Roman" w:hAnsi="Times New Roman" w:eastAsia="方正仿宋_GBK" w:cs="Times New Roman"/>
                <w:b/>
                <w:bCs/>
                <w:sz w:val="18"/>
                <w:szCs w:val="18"/>
              </w:rPr>
              <w:t>总计</w:t>
            </w:r>
          </w:p>
        </w:tc>
        <w:tc>
          <w:tcPr>
            <w:tcW w:w="1057" w:type="dxa"/>
            <w:tcBorders>
              <w:top w:val="single" w:color="auto" w:sz="4" w:space="0"/>
              <w:left w:val="nil"/>
              <w:bottom w:val="single" w:color="auto" w:sz="4" w:space="0"/>
              <w:right w:val="single" w:color="auto" w:sz="4" w:space="0"/>
            </w:tcBorders>
            <w:vAlign w:val="center"/>
          </w:tcPr>
          <w:p>
            <w:pPr>
              <w:rPr>
                <w:rFonts w:ascii="Times New Roman" w:hAnsi="Times New Roman" w:eastAsia="方正仿宋_GBK" w:cs="Times New Roman"/>
                <w:sz w:val="18"/>
                <w:szCs w:val="18"/>
                <w:lang w:eastAsia="zh-Hans"/>
              </w:rPr>
            </w:pPr>
          </w:p>
        </w:tc>
      </w:tr>
    </w:tbl>
    <w:p>
      <w:pPr>
        <w:spacing w:line="480" w:lineRule="auto"/>
        <w:rPr>
          <w:rFonts w:ascii="宋体" w:hAnsi="宋体" w:eastAsia="宋体"/>
          <w:sz w:val="28"/>
          <w:szCs w:val="28"/>
        </w:rPr>
      </w:pPr>
    </w:p>
    <w:p>
      <w:pPr>
        <w:spacing w:line="480" w:lineRule="auto"/>
        <w:ind w:firstLine="480"/>
        <w:rPr>
          <w:rFonts w:ascii="宋体" w:hAnsi="宋体" w:eastAsia="宋体"/>
          <w:sz w:val="28"/>
          <w:szCs w:val="28"/>
        </w:rPr>
      </w:pPr>
      <w:r>
        <w:rPr>
          <w:rFonts w:hint="eastAsia" w:ascii="宋体" w:hAnsi="宋体" w:eastAsia="宋体"/>
          <w:sz w:val="28"/>
          <w:szCs w:val="28"/>
        </w:rPr>
        <w:t>报价单位：</w:t>
      </w:r>
    </w:p>
    <w:p>
      <w:pPr>
        <w:spacing w:line="480" w:lineRule="auto"/>
        <w:ind w:firstLine="480"/>
        <w:rPr>
          <w:rFonts w:ascii="宋体" w:hAnsi="宋体" w:eastAsia="宋体"/>
          <w:sz w:val="28"/>
          <w:szCs w:val="28"/>
        </w:rPr>
      </w:pPr>
      <w:r>
        <w:rPr>
          <w:rFonts w:hint="eastAsia" w:ascii="宋体" w:hAnsi="宋体" w:eastAsia="宋体"/>
          <w:sz w:val="28"/>
          <w:szCs w:val="28"/>
        </w:rPr>
        <w:t>报价时间：</w:t>
      </w:r>
    </w:p>
    <w:sectPr>
      <w:pgSz w:w="11900" w:h="16840"/>
      <w:pgMar w:top="1440" w:right="1800" w:bottom="1440" w:left="1800" w:header="851" w:footer="992" w:gutter="0"/>
      <w:cols w:space="425" w:num="1"/>
      <w:docGrid w:type="lines" w:linePitch="4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294E6786-4408-4532-95D4-B041E0E56C89}"/>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embedRegular r:id="rId2" w:fontKey="{76E8C7E7-5DDD-4D7B-BCA3-BF84F17B56AE}"/>
  </w:font>
  <w:font w:name="方正仿宋_GBK">
    <w:panose1 w:val="03000509000000000000"/>
    <w:charset w:val="86"/>
    <w:family w:val="script"/>
    <w:pitch w:val="default"/>
    <w:sig w:usb0="00000001" w:usb1="080E0000" w:usb2="00000000" w:usb3="00000000" w:csb0="00040000" w:csb1="00000000"/>
    <w:embedRegular r:id="rId3" w:fontKey="{80093860-51C3-4A7E-AF85-3CBCC48BDDAD}"/>
  </w:font>
  <w:font w:name="方正仿宋_GB2312">
    <w:panose1 w:val="02000000000000000000"/>
    <w:charset w:val="86"/>
    <w:family w:val="auto"/>
    <w:pitch w:val="default"/>
    <w:sig w:usb0="A00002BF" w:usb1="184F6CFA" w:usb2="00000012" w:usb3="00000000" w:csb0="00040001" w:csb1="00000000"/>
    <w:embedRegular r:id="rId4" w:fontKey="{F41A3556-0B2B-4A06-B068-0FEAD3B0BE3E}"/>
  </w:font>
  <w:font w:name="___WRD_EMBED_SUB_49">
    <w:panose1 w:val="02000000000000000000"/>
    <w:charset w:val="86"/>
    <w:family w:val="auto"/>
    <w:pitch w:val="default"/>
    <w:sig w:usb0="A00002BF" w:usb1="184F6CFA" w:usb2="00000012" w:usb3="00000000" w:csb0="00040001" w:csb1="00000000"/>
    <w:embedRegular r:id="rId5" w:fontKey="{CB95DE82-7D2C-4915-A8FD-F7F07B05CCB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20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3ZjA1OGNhNDRlYzhkN2M5ZWNlYmI3ZDZmY2EzZmYifQ=="/>
  </w:docVars>
  <w:rsids>
    <w:rsidRoot w:val="008457AE"/>
    <w:rsid w:val="00536615"/>
    <w:rsid w:val="008457AE"/>
    <w:rsid w:val="00A22715"/>
    <w:rsid w:val="00A3405E"/>
    <w:rsid w:val="02EA1B85"/>
    <w:rsid w:val="05D11AC2"/>
    <w:rsid w:val="06A85150"/>
    <w:rsid w:val="07715429"/>
    <w:rsid w:val="0BBC538F"/>
    <w:rsid w:val="0DD8176C"/>
    <w:rsid w:val="12227FEE"/>
    <w:rsid w:val="1E9B51D5"/>
    <w:rsid w:val="21AE74B0"/>
    <w:rsid w:val="2A777101"/>
    <w:rsid w:val="2FC9068E"/>
    <w:rsid w:val="334B125F"/>
    <w:rsid w:val="3C9F6129"/>
    <w:rsid w:val="3ED82DA1"/>
    <w:rsid w:val="4A8A6819"/>
    <w:rsid w:val="4B457DE8"/>
    <w:rsid w:val="513631F3"/>
    <w:rsid w:val="5A866C56"/>
    <w:rsid w:val="5E98456B"/>
    <w:rsid w:val="67934118"/>
    <w:rsid w:val="7335269F"/>
    <w:rsid w:val="78DB26D3"/>
    <w:rsid w:val="7B8750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5">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paragraph" w:styleId="2">
    <w:name w:val="Normal (Web)"/>
    <w:autoRedefine/>
    <w:unhideWhenUsed/>
    <w:qFormat/>
    <w:uiPriority w:val="99"/>
    <w:pPr>
      <w:spacing w:beforeAutospacing="1" w:afterAutospacing="1"/>
    </w:pPr>
    <w:rPr>
      <w:rFonts w:ascii="Times New Roman" w:hAnsi="Times New Roman" w:eastAsia="宋体" w:cs="Times New Roman"/>
      <w:lang w:val="en-US" w:eastAsia="zh-CN" w:bidi="ar-SA"/>
    </w:rPr>
  </w:style>
  <w:style w:type="table" w:styleId="4">
    <w:name w:val="Table Grid"/>
    <w:basedOn w:val="3"/>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78</Words>
  <Characters>448</Characters>
  <Lines>3</Lines>
  <Paragraphs>1</Paragraphs>
  <TotalTime>2</TotalTime>
  <ScaleCrop>false</ScaleCrop>
  <LinksUpToDate>false</LinksUpToDate>
  <CharactersWithSpaces>525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2022-05-07T23:13:00Z</dcterms:created>
  <dc:creator>四米</dc:creator>
  <cp:lastModifiedBy>林林</cp:lastModifiedBy>
  <dcterms:modified xsi:type="dcterms:W3CDTF">2024-04-28T00:36:08Z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EDD53157A3634CA6B20BFBE3FF2341A6</vt:lpwstr>
  </property>
</Properties>
</file>