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68" w:rsidRDefault="00F33669" w:rsidP="006A7B49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成都市第二人民医院庆云院区机动车停车场道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闸系统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及服务采购要求</w:t>
      </w:r>
    </w:p>
    <w:p w:rsidR="00FC1668" w:rsidRDefault="00FC1668" w:rsidP="006A7B49">
      <w:pPr>
        <w:spacing w:line="560" w:lineRule="exact"/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FC1668" w:rsidRDefault="00F33669">
      <w:pPr>
        <w:numPr>
          <w:ilvl w:val="0"/>
          <w:numId w:val="2"/>
        </w:numPr>
        <w:spacing w:line="560" w:lineRule="exact"/>
        <w:ind w:left="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道闸系统功能要求：</w:t>
      </w:r>
    </w:p>
    <w:p w:rsidR="00FC1668" w:rsidRDefault="00F33669">
      <w:pPr>
        <w:numPr>
          <w:ilvl w:val="0"/>
          <w:numId w:val="3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道闸与摄像头一体，能自动补光，能防止自动落杆砸车、砸人；入口显示空余车位。</w:t>
      </w:r>
    </w:p>
    <w:p w:rsidR="00FC1668" w:rsidRDefault="00F33669">
      <w:pPr>
        <w:numPr>
          <w:ilvl w:val="0"/>
          <w:numId w:val="3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高清摄像，系统自动纠错，误差率低；能识别新能源车号牌。</w:t>
      </w:r>
    </w:p>
    <w:p w:rsidR="00FC1668" w:rsidRDefault="00F33669">
      <w:pPr>
        <w:numPr>
          <w:ilvl w:val="0"/>
          <w:numId w:val="3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收费采取自动计算停车时长计费，场内、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出口扫码缴费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，语音播报功能，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分钟内出口自动识别抬杆放行。</w:t>
      </w:r>
    </w:p>
    <w:p w:rsidR="00FC1668" w:rsidRDefault="00F33669">
      <w:pPr>
        <w:numPr>
          <w:ilvl w:val="0"/>
          <w:numId w:val="3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不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人工收费，出口能辅助现金收取、自动找零；系统每日自动对账；出口能自动生成电子发票或发票自助打印。</w:t>
      </w:r>
    </w:p>
    <w:p w:rsidR="00FC1668" w:rsidRDefault="00F33669">
      <w:pPr>
        <w:numPr>
          <w:ilvl w:val="0"/>
          <w:numId w:val="3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出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口道闸能防止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跟车逃费。</w:t>
      </w:r>
    </w:p>
    <w:p w:rsidR="00FC1668" w:rsidRDefault="00F33669">
      <w:pPr>
        <w:numPr>
          <w:ilvl w:val="0"/>
          <w:numId w:val="3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自动定期清理垃圾数据或僵尸车预警。</w:t>
      </w:r>
    </w:p>
    <w:p w:rsidR="00FC1668" w:rsidRDefault="00F33669">
      <w:pPr>
        <w:numPr>
          <w:ilvl w:val="0"/>
          <w:numId w:val="3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系统具有查找场内车，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回查停车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、入场、出场历史数据、图像功能。</w:t>
      </w:r>
    </w:p>
    <w:p w:rsidR="00FC1668" w:rsidRDefault="00F33669">
      <w:pPr>
        <w:numPr>
          <w:ilvl w:val="0"/>
          <w:numId w:val="3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具有特种车免费设置、特定车辆限时免费停车、自动识别军警车放行等功能。</w:t>
      </w:r>
    </w:p>
    <w:p w:rsidR="00FC1668" w:rsidRDefault="00F33669">
      <w:pPr>
        <w:numPr>
          <w:ilvl w:val="0"/>
          <w:numId w:val="3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远程云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平台应急处置。</w:t>
      </w:r>
    </w:p>
    <w:p w:rsidR="00FC1668" w:rsidRDefault="00F33669">
      <w:pPr>
        <w:numPr>
          <w:ilvl w:val="0"/>
          <w:numId w:val="3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进、出口车主自助呼叫应急救助、系统自检、故障报警功能。</w:t>
      </w:r>
    </w:p>
    <w:p w:rsidR="00FC1668" w:rsidRDefault="00F33669">
      <w:pPr>
        <w:numPr>
          <w:ilvl w:val="0"/>
          <w:numId w:val="3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能与成都市智能停车综合管理平台进行数据实时对接。</w:t>
      </w:r>
    </w:p>
    <w:p w:rsidR="00FC1668" w:rsidRDefault="00F33669">
      <w:pPr>
        <w:numPr>
          <w:ilvl w:val="0"/>
          <w:numId w:val="4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出入口岗亭配置</w:t>
      </w:r>
    </w:p>
    <w:p w:rsidR="00FC1668" w:rsidRDefault="00F33669">
      <w:pPr>
        <w:numPr>
          <w:ilvl w:val="0"/>
          <w:numId w:val="5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入口：道闸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闸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机一套，含：入口控制机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台、智能道闸（含：数字式车辆检测器）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台、防砸雷达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台、高清车牌识别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一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体式摄像机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台。</w:t>
      </w:r>
    </w:p>
    <w:p w:rsidR="00FC1668" w:rsidRDefault="00F33669">
      <w:pPr>
        <w:numPr>
          <w:ilvl w:val="0"/>
          <w:numId w:val="5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出口：道闸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闸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机一套，含：出口控制机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台、智能道闸（含：数字式车辆检测器）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台、防砸雷达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台、高清车牌识别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一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体式摄像机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台、自助现金收取及找零设备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台。</w:t>
      </w:r>
    </w:p>
    <w:p w:rsidR="00FC1668" w:rsidRDefault="00F33669">
      <w:pPr>
        <w:numPr>
          <w:ilvl w:val="0"/>
          <w:numId w:val="5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铺设岗亭间光纤线约需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200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米（实际以现场勘查为准）。</w:t>
      </w:r>
    </w:p>
    <w:p w:rsidR="00FC1668" w:rsidRDefault="00F33669">
      <w:pPr>
        <w:numPr>
          <w:ilvl w:val="0"/>
          <w:numId w:val="4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管理工作站：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8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口千兆交换机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台、电源插座（多用途电源线连接器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10A-250V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个、路由器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台、工程电控箱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个、岗亭电脑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台（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6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代以上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I3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处理器，运行内存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8G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，硬盘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500G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支持谷歌浏览器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正常运行，操作系统正常使用）</w:t>
      </w:r>
    </w:p>
    <w:p w:rsidR="00FC1668" w:rsidRDefault="00F33669">
      <w:pPr>
        <w:numPr>
          <w:ilvl w:val="0"/>
          <w:numId w:val="4"/>
        </w:num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停车场管理系统：云停车管理系统</w:t>
      </w:r>
    </w:p>
    <w:p w:rsidR="00FC1668" w:rsidRDefault="00F33669" w:rsidP="006A7B49">
      <w:pPr>
        <w:numPr>
          <w:ilvl w:val="0"/>
          <w:numId w:val="6"/>
        </w:numPr>
        <w:spacing w:line="560" w:lineRule="exact"/>
        <w:ind w:firstLineChars="183" w:firstLine="586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含云端计算资源、存储、网络、操作系统等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IT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设施</w:t>
      </w:r>
    </w:p>
    <w:p w:rsidR="00FC1668" w:rsidRDefault="00F33669" w:rsidP="006A7B49">
      <w:pPr>
        <w:numPr>
          <w:ilvl w:val="0"/>
          <w:numId w:val="6"/>
        </w:numPr>
        <w:spacing w:line="560" w:lineRule="exact"/>
        <w:ind w:firstLineChars="183" w:firstLine="586"/>
        <w:rPr>
          <w:rFonts w:ascii="方正仿宋_GB2312" w:eastAsia="方正仿宋_GB2312" w:hAnsi="方正仿宋_GB2312" w:cs="方正仿宋_GB2312"/>
          <w:sz w:val="32"/>
          <w:szCs w:val="32"/>
        </w:rPr>
      </w:pP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含基础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配置，月卡管理，</w:t>
      </w:r>
      <w:proofErr w:type="gram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临停收费</w:t>
      </w:r>
      <w:proofErr w:type="gram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，收入统计，多维报表，车辆进出、缴费数据（含图片）查询等</w:t>
      </w:r>
    </w:p>
    <w:p w:rsidR="00FC1668" w:rsidRDefault="00F33669" w:rsidP="006A7B49">
      <w:pPr>
        <w:numPr>
          <w:ilvl w:val="0"/>
          <w:numId w:val="6"/>
        </w:numPr>
        <w:spacing w:line="560" w:lineRule="exact"/>
        <w:ind w:firstLineChars="183" w:firstLine="586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车主缴费直接进入医院账户。</w:t>
      </w:r>
    </w:p>
    <w:p w:rsidR="00FC1668" w:rsidRDefault="00F33669" w:rsidP="006A7B49">
      <w:pPr>
        <w:numPr>
          <w:ilvl w:val="0"/>
          <w:numId w:val="6"/>
        </w:numPr>
        <w:spacing w:line="560" w:lineRule="exact"/>
        <w:ind w:firstLineChars="183" w:firstLine="586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支持出口设备自动生成动态缴费二维码，无需车主输入金额。</w:t>
      </w:r>
    </w:p>
    <w:p w:rsidR="00FC1668" w:rsidRDefault="00F33669" w:rsidP="006A7B49">
      <w:pPr>
        <w:numPr>
          <w:ilvl w:val="0"/>
          <w:numId w:val="6"/>
        </w:numPr>
        <w:spacing w:line="560" w:lineRule="exact"/>
        <w:ind w:firstLineChars="183" w:firstLine="586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每日自动对账：需显示系统应收金额；显示银行到账金额；每天有一个对账结果，如有差异，需显示差异订单；能导出每天系统应收流水和银行到账流水。</w:t>
      </w:r>
    </w:p>
    <w:p w:rsidR="00FC1668" w:rsidRDefault="00F33669" w:rsidP="006A7B49">
      <w:pPr>
        <w:numPr>
          <w:ilvl w:val="0"/>
          <w:numId w:val="6"/>
        </w:numPr>
        <w:spacing w:line="560" w:lineRule="exact"/>
        <w:ind w:firstLineChars="183" w:firstLine="586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电子发票生成要求：仅需提供缴费车牌号、车主手机号、电子邮箱。</w:t>
      </w:r>
    </w:p>
    <w:p w:rsidR="00FC1668" w:rsidRDefault="00F33669" w:rsidP="006A7B49">
      <w:pPr>
        <w:numPr>
          <w:ilvl w:val="0"/>
          <w:numId w:val="4"/>
        </w:numPr>
        <w:spacing w:line="560" w:lineRule="exact"/>
        <w:ind w:firstLineChars="183" w:firstLine="586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施工及材料费：安全岛基础网络、电源重新敷设材料及人工费、设备安装及调试；岗亭之间的光纤敷设。</w:t>
      </w:r>
    </w:p>
    <w:p w:rsidR="006A7B49" w:rsidRDefault="00F33669" w:rsidP="00FC1668">
      <w:pPr>
        <w:numPr>
          <w:ilvl w:val="0"/>
          <w:numId w:val="4"/>
        </w:numPr>
        <w:spacing w:line="560" w:lineRule="exact"/>
        <w:ind w:firstLineChars="183" w:firstLine="586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供应商需</w:t>
      </w: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提供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5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年质保服务期。服务期内：供应商负责系统软硬件设备、设施的安装、更新、维护，保证停车系统各项功能正常使用。</w:t>
      </w:r>
    </w:p>
    <w:p w:rsidR="006A7B49" w:rsidRDefault="006A7B49">
      <w:pPr>
        <w:adjustRightInd/>
        <w:snapToGrid/>
        <w:spacing w:after="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br w:type="page"/>
      </w:r>
    </w:p>
    <w:p w:rsidR="006A7B49" w:rsidRDefault="006A7B49" w:rsidP="006A7B49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成都市第二人民医院庆云院区</w:t>
      </w:r>
    </w:p>
    <w:p w:rsidR="006A7B49" w:rsidRDefault="006A7B49" w:rsidP="006A7B49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停车场道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闸系统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及服务项目</w:t>
      </w:r>
      <w:r>
        <w:rPr>
          <w:rFonts w:ascii="方正小标宋_GBK" w:eastAsia="方正小标宋_GBK" w:hint="eastAsia"/>
          <w:sz w:val="44"/>
          <w:szCs w:val="32"/>
        </w:rPr>
        <w:t>报价表</w:t>
      </w:r>
    </w:p>
    <w:p w:rsidR="006A7B49" w:rsidRDefault="006A7B49" w:rsidP="006A7B49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/>
          <w:sz w:val="44"/>
          <w:szCs w:val="32"/>
        </w:rPr>
      </w:pPr>
    </w:p>
    <w:tbl>
      <w:tblPr>
        <w:tblW w:w="102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4637"/>
        <w:gridCol w:w="1903"/>
        <w:gridCol w:w="767"/>
        <w:gridCol w:w="1219"/>
        <w:gridCol w:w="852"/>
      </w:tblGrid>
      <w:tr w:rsidR="006A7B49" w:rsidTr="00496BBD">
        <w:trPr>
          <w:trHeight w:val="71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spacing w:after="0" w:line="40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项目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spacing w:after="0" w:line="40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spacing w:after="0" w:line="40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用途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spacing w:after="0" w:line="40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数量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spacing w:after="0" w:line="40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报价</w:t>
            </w:r>
          </w:p>
          <w:p w:rsidR="006A7B49" w:rsidRDefault="006A7B49" w:rsidP="00496BBD">
            <w:pPr>
              <w:spacing w:after="0" w:line="40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（万）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spacing w:after="0" w:line="40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备注</w:t>
            </w:r>
          </w:p>
        </w:tc>
      </w:tr>
      <w:tr w:rsidR="006A7B49" w:rsidTr="00496BBD">
        <w:trPr>
          <w:trHeight w:val="211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庆云院区停车场道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闸系统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及服务项目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widowControl w:val="0"/>
              <w:adjustRightInd/>
              <w:snapToGrid/>
              <w:spacing w:after="0" w:line="6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采购庆云院区机动车停车场道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闸系统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及服务，具体详见成都市第二人民医院庆云院区机动车停车场道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闸系统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及服务采购要求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spacing w:line="400" w:lineRule="exac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更换现有停车场内道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闸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>系统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spacing w:after="0"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1套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spacing w:after="0"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B49" w:rsidRDefault="006A7B49" w:rsidP="00496BBD">
            <w:pPr>
              <w:spacing w:after="0"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</w:tbl>
    <w:p w:rsidR="006A7B49" w:rsidRDefault="006A7B49" w:rsidP="006A7B49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6A7B49" w:rsidRDefault="006A7B49" w:rsidP="006A7B49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报价公司：</w:t>
      </w:r>
    </w:p>
    <w:p w:rsidR="006A7B49" w:rsidRDefault="006A7B49" w:rsidP="006A7B49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联系方式：</w:t>
      </w:r>
    </w:p>
    <w:p w:rsidR="006A7B49" w:rsidRDefault="006A7B49" w:rsidP="006A7B49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日期：</w:t>
      </w:r>
    </w:p>
    <w:p w:rsidR="006A7B49" w:rsidRDefault="006A7B49" w:rsidP="006A7B49">
      <w:pPr>
        <w:spacing w:line="560" w:lineRule="exact"/>
        <w:ind w:left="586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6A7B49" w:rsidRDefault="006A7B49">
      <w:pPr>
        <w:adjustRightInd/>
        <w:snapToGrid/>
        <w:spacing w:after="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br w:type="page"/>
      </w:r>
    </w:p>
    <w:p w:rsidR="006A7B49" w:rsidRDefault="006A7B49" w:rsidP="006A7B4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 xml:space="preserve">XXX项目建设方案 </w:t>
      </w:r>
    </w:p>
    <w:p w:rsidR="006A7B49" w:rsidRDefault="006A7B49" w:rsidP="006A7B4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（模板）</w:t>
      </w:r>
    </w:p>
    <w:p w:rsidR="006A7B49" w:rsidRDefault="006A7B49" w:rsidP="006A7B49">
      <w:pPr>
        <w:rPr>
          <w:rFonts w:ascii="仿宋" w:eastAsia="仿宋" w:hAnsi="仿宋" w:cs="仿宋"/>
          <w:sz w:val="24"/>
        </w:rPr>
      </w:pPr>
    </w:p>
    <w:p w:rsidR="006A7B49" w:rsidRPr="003F36D5" w:rsidRDefault="006A7B49" w:rsidP="006A7B49">
      <w:pPr>
        <w:pStyle w:val="a7"/>
        <w:numPr>
          <w:ilvl w:val="0"/>
          <w:numId w:val="7"/>
        </w:numPr>
        <w:ind w:firstLineChars="0"/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6A7B49" w:rsidRPr="003F36D5" w:rsidRDefault="006A7B49" w:rsidP="006A7B4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1．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6A7B49" w:rsidRPr="003F36D5" w:rsidRDefault="006A7B49" w:rsidP="006A7B4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6A7B49" w:rsidRPr="003F36D5" w:rsidRDefault="006A7B49" w:rsidP="006A7B4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6A7B49" w:rsidRPr="003F36D5" w:rsidRDefault="006A7B49" w:rsidP="006A7B4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6A7B49" w:rsidRPr="003F36D5" w:rsidRDefault="006A7B49" w:rsidP="006A7B4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6A7B49" w:rsidRPr="003F36D5" w:rsidRDefault="006A7B49" w:rsidP="006A7B4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6A7B49" w:rsidRPr="003F36D5" w:rsidRDefault="006A7B49" w:rsidP="006A7B4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6A7B49" w:rsidRPr="003F36D5" w:rsidRDefault="006A7B49" w:rsidP="006A7B4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6A7B49" w:rsidRPr="003F36D5" w:rsidRDefault="006A7B49" w:rsidP="006A7B4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6A7B49" w:rsidRDefault="006A7B49" w:rsidP="006A7B49">
      <w:pPr>
        <w:rPr>
          <w:rFonts w:ascii="仿宋" w:eastAsia="仿宋" w:hAnsi="仿宋" w:cs="仿宋"/>
          <w:sz w:val="24"/>
        </w:rPr>
      </w:pPr>
    </w:p>
    <w:p w:rsidR="006A7B49" w:rsidRPr="003F36D5" w:rsidRDefault="006A7B49" w:rsidP="006A7B49">
      <w:pPr>
        <w:rPr>
          <w:rFonts w:ascii="仿宋" w:eastAsia="仿宋" w:hAnsi="仿宋" w:cs="仿宋"/>
          <w:sz w:val="24"/>
        </w:rPr>
      </w:pPr>
    </w:p>
    <w:p w:rsidR="006A7B49" w:rsidRPr="001D2313" w:rsidRDefault="006A7B49" w:rsidP="006A7B49">
      <w:pPr>
        <w:rPr>
          <w:rFonts w:ascii="仿宋" w:eastAsia="仿宋" w:hAnsi="仿宋" w:cs="仿宋"/>
          <w:sz w:val="30"/>
          <w:szCs w:val="30"/>
        </w:rPr>
      </w:pPr>
      <w:r w:rsidRPr="001D2313">
        <w:rPr>
          <w:rFonts w:ascii="仿宋" w:eastAsia="仿宋" w:hAnsi="仿宋" w:cs="仿宋"/>
          <w:sz w:val="30"/>
          <w:szCs w:val="30"/>
        </w:rPr>
        <w:t>二、其它</w:t>
      </w:r>
    </w:p>
    <w:p w:rsidR="006A7B49" w:rsidRPr="005B4F19" w:rsidRDefault="006A7B49" w:rsidP="006A7B49">
      <w:pPr>
        <w:pStyle w:val="a7"/>
        <w:spacing w:line="360" w:lineRule="auto"/>
        <w:ind w:firstLineChars="0" w:firstLine="0"/>
        <w:rPr>
          <w:rFonts w:ascii="宋体" w:hAnsi="宋体"/>
          <w:szCs w:val="21"/>
        </w:rPr>
      </w:pPr>
    </w:p>
    <w:p w:rsidR="006A7B49" w:rsidRDefault="006A7B49" w:rsidP="006A7B49">
      <w:pPr>
        <w:rPr>
          <w:rFonts w:ascii="仿宋_GB2312" w:eastAsia="仿宋_GB2312"/>
          <w:sz w:val="28"/>
          <w:szCs w:val="28"/>
        </w:rPr>
      </w:pPr>
    </w:p>
    <w:p w:rsidR="00FC1668" w:rsidRDefault="00FC1668" w:rsidP="006A7B49">
      <w:pPr>
        <w:spacing w:line="560" w:lineRule="exact"/>
        <w:ind w:left="586"/>
        <w:rPr>
          <w:rFonts w:ascii="方正仿宋_GB2312" w:eastAsia="方正仿宋_GB2312" w:hAnsi="方正仿宋_GB2312" w:cs="方正仿宋_GB2312"/>
          <w:sz w:val="32"/>
          <w:szCs w:val="32"/>
        </w:rPr>
      </w:pPr>
      <w:bookmarkStart w:id="0" w:name="_GoBack"/>
      <w:bookmarkEnd w:id="0"/>
    </w:p>
    <w:sectPr w:rsidR="00FC1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69" w:rsidRDefault="00F33669">
      <w:pPr>
        <w:spacing w:after="0"/>
      </w:pPr>
      <w:r>
        <w:separator/>
      </w:r>
    </w:p>
  </w:endnote>
  <w:endnote w:type="continuationSeparator" w:id="0">
    <w:p w:rsidR="00F33669" w:rsidRDefault="00F336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339A4836-C42F-4CA2-B010-BF451389645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0DC8E1B-FD65-4126-A1C8-2C3EA2509F0E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FE3764A1-5C9B-43C6-95CC-48DFF8767C2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06763C7-ACF2-44AE-95B8-668855533EE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7C878D8-433F-4449-A0B7-8219B0C3B87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69" w:rsidRDefault="00F33669">
      <w:pPr>
        <w:spacing w:after="0"/>
      </w:pPr>
      <w:r>
        <w:separator/>
      </w:r>
    </w:p>
  </w:footnote>
  <w:footnote w:type="continuationSeparator" w:id="0">
    <w:p w:rsidR="00F33669" w:rsidRDefault="00F336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0475A"/>
    <w:multiLevelType w:val="singleLevel"/>
    <w:tmpl w:val="A790475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2195124"/>
    <w:multiLevelType w:val="singleLevel"/>
    <w:tmpl w:val="F2195124"/>
    <w:lvl w:ilvl="0">
      <w:start w:val="1"/>
      <w:numFmt w:val="decimal"/>
      <w:suff w:val="nothing"/>
      <w:lvlText w:val="%1、"/>
      <w:lvlJc w:val="left"/>
    </w:lvl>
  </w:abstractNum>
  <w:abstractNum w:abstractNumId="2">
    <w:nsid w:val="0E7D01F3"/>
    <w:multiLevelType w:val="singleLevel"/>
    <w:tmpl w:val="0E7D01F3"/>
    <w:lvl w:ilvl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3">
    <w:nsid w:val="1BD6247E"/>
    <w:multiLevelType w:val="hybridMultilevel"/>
    <w:tmpl w:val="E73A247C"/>
    <w:lvl w:ilvl="0" w:tplc="156892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679C57"/>
    <w:multiLevelType w:val="singleLevel"/>
    <w:tmpl w:val="1D679C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3AAF2"/>
    <w:multiLevelType w:val="singleLevel"/>
    <w:tmpl w:val="71A3AA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jMwZGJkMDk0NjRmNTA4MmJkNjU5M2Y3ZjRhZmEifQ=="/>
  </w:docVars>
  <w:rsids>
    <w:rsidRoot w:val="77E56DC4"/>
    <w:rsid w:val="006A7B49"/>
    <w:rsid w:val="00F33669"/>
    <w:rsid w:val="00FC1668"/>
    <w:rsid w:val="01DF1ADE"/>
    <w:rsid w:val="0BA23BA2"/>
    <w:rsid w:val="0DAA0079"/>
    <w:rsid w:val="0FEB2196"/>
    <w:rsid w:val="11852DF2"/>
    <w:rsid w:val="15B12FCF"/>
    <w:rsid w:val="218E5E5B"/>
    <w:rsid w:val="26A535F7"/>
    <w:rsid w:val="322712A9"/>
    <w:rsid w:val="33FA0BCA"/>
    <w:rsid w:val="35131158"/>
    <w:rsid w:val="39C83D61"/>
    <w:rsid w:val="3AB94550"/>
    <w:rsid w:val="4BCD3799"/>
    <w:rsid w:val="4C6B4F7E"/>
    <w:rsid w:val="4EA0220D"/>
    <w:rsid w:val="4F7C0148"/>
    <w:rsid w:val="5A935C97"/>
    <w:rsid w:val="5DFE20F6"/>
    <w:rsid w:val="6916307A"/>
    <w:rsid w:val="6D2F2DF4"/>
    <w:rsid w:val="6F7807D0"/>
    <w:rsid w:val="75113A35"/>
    <w:rsid w:val="76D36404"/>
    <w:rsid w:val="77E56DC4"/>
    <w:rsid w:val="796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</w:style>
  <w:style w:type="paragraph" w:styleId="a4">
    <w:name w:val="Normal (Web)"/>
    <w:basedOn w:val="a"/>
    <w:autoRedefine/>
    <w:qFormat/>
    <w:pPr>
      <w:spacing w:beforeAutospacing="1" w:after="0" w:afterAutospacing="1"/>
    </w:pPr>
    <w:rPr>
      <w:sz w:val="24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customStyle="1" w:styleId="5">
    <w:name w:val="标题 5（有编号）（绿盟科技）"/>
    <w:basedOn w:val="a"/>
    <w:next w:val="a6"/>
    <w:autoRedefine/>
    <w:uiPriority w:val="99"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 w:cs="Arial"/>
      <w:b/>
      <w:bCs/>
      <w:sz w:val="24"/>
    </w:rPr>
  </w:style>
  <w:style w:type="paragraph" w:customStyle="1" w:styleId="a6">
    <w:name w:val="正文（绿盟科技）"/>
    <w:next w:val="a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Char">
    <w:name w:val="标题 1 Char"/>
    <w:link w:val="1"/>
    <w:autoRedefine/>
    <w:qFormat/>
    <w:rPr>
      <w:b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</w:style>
  <w:style w:type="paragraph" w:styleId="a4">
    <w:name w:val="Normal (Web)"/>
    <w:basedOn w:val="a"/>
    <w:autoRedefine/>
    <w:qFormat/>
    <w:pPr>
      <w:spacing w:beforeAutospacing="1" w:after="0" w:afterAutospacing="1"/>
    </w:pPr>
    <w:rPr>
      <w:sz w:val="24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customStyle="1" w:styleId="5">
    <w:name w:val="标题 5（有编号）（绿盟科技）"/>
    <w:basedOn w:val="a"/>
    <w:next w:val="a6"/>
    <w:autoRedefine/>
    <w:uiPriority w:val="99"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 w:cs="Arial"/>
      <w:b/>
      <w:bCs/>
      <w:sz w:val="24"/>
    </w:rPr>
  </w:style>
  <w:style w:type="paragraph" w:customStyle="1" w:styleId="a6">
    <w:name w:val="正文（绿盟科技）"/>
    <w:next w:val="a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Char">
    <w:name w:val="标题 1 Char"/>
    <w:link w:val="1"/>
    <w:autoRedefine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RUIFOX</dc:creator>
  <cp:lastModifiedBy>dhc_his</cp:lastModifiedBy>
  <cp:revision>2</cp:revision>
  <cp:lastPrinted>2024-01-30T03:27:00Z</cp:lastPrinted>
  <dcterms:created xsi:type="dcterms:W3CDTF">2023-09-07T01:22:00Z</dcterms:created>
  <dcterms:modified xsi:type="dcterms:W3CDTF">2024-04-16T06:33:00Z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679144535B6F4FC9B18BD74E6F3FD372_13</vt:lpwstr>
  </property>
</Properties>
</file>