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</w:rPr>
        <w:t>成都市第二人民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  <w:lang w:val="en-US" w:eastAsia="zh-CN"/>
        </w:rPr>
        <w:t>医院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  <w:lang w:eastAsia="zh-CN"/>
        </w:rPr>
        <w:t>至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</w:rPr>
        <w:t>年配电系统</w:t>
      </w:r>
    </w:p>
    <w:p>
      <w:pPr>
        <w:pStyle w:val="3"/>
        <w:spacing w:line="360" w:lineRule="auto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</w:rPr>
        <w:t>维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  <w:lang w:val="en-US" w:eastAsia="zh-CN"/>
        </w:rPr>
        <w:t>修保养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</w:rPr>
        <w:t>服务采购项目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  <w:lang w:val="en-US" w:eastAsia="zh-CN"/>
        </w:rPr>
        <w:t>调研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0"/>
          <w:szCs w:val="40"/>
        </w:rPr>
        <w:t>询价公告</w:t>
      </w:r>
    </w:p>
    <w:p>
      <w:pPr>
        <w:ind w:firstLine="420" w:firstLineChars="150"/>
        <w:rPr>
          <w:rFonts w:hint="eastAsia" w:ascii="方正仿宋_GBK" w:hAnsi="仿宋" w:eastAsia="方正仿宋_GBK"/>
          <w:bCs/>
          <w:kern w:val="0"/>
          <w:sz w:val="28"/>
          <w:szCs w:val="28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一、项目名称：</w:t>
      </w:r>
      <w:r>
        <w:rPr>
          <w:rFonts w:hint="eastAsia" w:ascii="方正仿宋_GBK" w:hAnsi="仿宋" w:eastAsia="方正仿宋_GBK"/>
          <w:bCs/>
          <w:kern w:val="0"/>
          <w:sz w:val="28"/>
          <w:szCs w:val="28"/>
        </w:rPr>
        <w:t>成都市第二人民医院龙潭院区庆云院区草分部202</w:t>
      </w:r>
      <w:r>
        <w:rPr>
          <w:rFonts w:hint="eastAsia" w:ascii="方正仿宋_GBK" w:hAnsi="仿宋" w:eastAsia="方正仿宋_GBK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仿宋" w:eastAsia="方正仿宋_GBK"/>
          <w:bCs/>
          <w:kern w:val="0"/>
          <w:sz w:val="28"/>
          <w:szCs w:val="28"/>
        </w:rPr>
        <w:t>年—202</w:t>
      </w:r>
      <w:r>
        <w:rPr>
          <w:rFonts w:hint="eastAsia" w:ascii="方正仿宋_GBK" w:hAnsi="仿宋" w:eastAsia="方正仿宋_GBK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方正仿宋_GBK" w:hAnsi="仿宋" w:eastAsia="方正仿宋_GBK"/>
          <w:bCs/>
          <w:kern w:val="0"/>
          <w:sz w:val="28"/>
          <w:szCs w:val="28"/>
        </w:rPr>
        <w:t>年配电系统维</w:t>
      </w:r>
      <w:r>
        <w:rPr>
          <w:rFonts w:hint="eastAsia" w:ascii="方正仿宋_GBK" w:hAnsi="仿宋" w:eastAsia="方正仿宋_GBK"/>
          <w:bCs/>
          <w:kern w:val="0"/>
          <w:sz w:val="28"/>
          <w:szCs w:val="28"/>
          <w:lang w:val="en-US" w:eastAsia="zh-CN"/>
        </w:rPr>
        <w:t>修</w:t>
      </w:r>
      <w:r>
        <w:rPr>
          <w:rFonts w:hint="eastAsia" w:ascii="方正仿宋_GBK" w:hAnsi="仿宋" w:eastAsia="方正仿宋_GBK"/>
          <w:bCs/>
          <w:kern w:val="0"/>
          <w:sz w:val="28"/>
          <w:szCs w:val="28"/>
        </w:rPr>
        <w:t>保</w:t>
      </w:r>
      <w:r>
        <w:rPr>
          <w:rFonts w:hint="eastAsia" w:ascii="方正仿宋_GBK" w:hAnsi="仿宋" w:eastAsia="方正仿宋_GBK"/>
          <w:bCs/>
          <w:kern w:val="0"/>
          <w:sz w:val="28"/>
          <w:szCs w:val="28"/>
          <w:lang w:val="en-US" w:eastAsia="zh-CN"/>
        </w:rPr>
        <w:t>养</w:t>
      </w:r>
      <w:r>
        <w:rPr>
          <w:rFonts w:hint="eastAsia" w:ascii="方正仿宋_GBK" w:hAnsi="仿宋" w:eastAsia="方正仿宋_GBK"/>
          <w:bCs/>
          <w:kern w:val="0"/>
          <w:sz w:val="28"/>
          <w:szCs w:val="28"/>
        </w:rPr>
        <w:t>服务采</w:t>
      </w:r>
      <w:bookmarkStart w:id="0" w:name="_GoBack"/>
      <w:bookmarkEnd w:id="0"/>
      <w:r>
        <w:rPr>
          <w:rFonts w:hint="eastAsia" w:ascii="方正仿宋_GBK" w:hAnsi="仿宋" w:eastAsia="方正仿宋_GBK"/>
          <w:bCs/>
          <w:kern w:val="0"/>
          <w:sz w:val="28"/>
          <w:szCs w:val="28"/>
        </w:rPr>
        <w:t>购项目公开询价</w:t>
      </w:r>
    </w:p>
    <w:p>
      <w:pPr>
        <w:ind w:firstLine="420" w:firstLineChars="150"/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二、项目内容简介</w:t>
      </w:r>
    </w:p>
    <w:p>
      <w:pPr>
        <w:spacing w:line="540" w:lineRule="exact"/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（一）高低压配电系统主要设备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列清单表附后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）</w:t>
      </w:r>
    </w:p>
    <w:p>
      <w:pPr>
        <w:autoSpaceDE w:val="0"/>
        <w:ind w:firstLine="560" w:firstLineChars="200"/>
        <w:jc w:val="left"/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1.龙潭院区双高压配电电源（范家坡路专线主供、龙潭站专线为备供），配电等级为10KV，总负荷容量为18000KVA，2000KVA变压器9台，高压配电设备柜18个，低压配电设备柜127个，开关536个，应急柴油发电机2台（1120KW/台）。</w:t>
      </w:r>
    </w:p>
    <w:p>
      <w:pPr>
        <w:autoSpaceDE w:val="0"/>
        <w:ind w:firstLine="560" w:firstLineChars="200"/>
        <w:jc w:val="left"/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2.庆云院区双高压配电电源（正飞路专线为主供、平典路专线为备供），配电等级为10KV，总负荷容量为6400KVA，1600KVA变压器4台，高压配电设备柜12个，低压配电设备柜57个，开关265个,应急柴油发电机1台（1000KW）。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 xml:space="preserve"> 3.草市街分部单高压配电（北泉路公用线搭接），配电等级为10KV，箱式变压器1台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总负荷容量为500KVA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应急柴油发电机1台（80KW）。</w:t>
      </w:r>
    </w:p>
    <w:p>
      <w:pPr>
        <w:ind w:firstLine="562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</w:pPr>
      <w:r>
        <w:rPr>
          <w:rFonts w:hint="eastAsia" w:ascii="方正仿宋_GBK" w:hAnsi="仿宋" w:eastAsia="方正仿宋_GBK" w:cs="Times New Roman"/>
          <w:b/>
          <w:bCs/>
          <w:kern w:val="0"/>
          <w:sz w:val="28"/>
          <w:szCs w:val="28"/>
        </w:rPr>
        <w:t xml:space="preserve"> 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三、项目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内容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技术服务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及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要求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（一）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项目服务内容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执行国家行业标准《电业安全工作规程》变电所电气部分DL408 （－91）和《高低压供配电设备维护保养标准》、《电气作业安全操作规程》等相关规范，确保人身安全和高压配电设备安全、有效的运行。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1、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高压配电设备、变压器及附属设备的日常维护保养、检测检修和操作配电室内所有 10kv 电压等级的设备、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一次二次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线路及其附属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设备设施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。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2、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清单所列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UPS和EPS的检查维护、电池更换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。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3、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制定日常维护保养项目、内容。</w:t>
      </w:r>
    </w:p>
    <w:p>
      <w:pPr>
        <w:numPr>
          <w:ilvl w:val="0"/>
          <w:numId w:val="1"/>
        </w:num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维护保养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标准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：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按国家标准和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电力行业标准及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操作规程进行维护保养，高压配电设备维护保养后应达到《10kV 及以下变电所设计规范》（GB50053－94）《电气装置安装工程高压电器施工及验收规范》（GBJ 147-90）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方正仿宋_GBK" w:hAnsi="仿宋" w:eastAsia="方正仿宋_GBK" w:cs="Times New Roman"/>
          <w:b w:val="0"/>
          <w:bCs/>
          <w:color w:val="auto"/>
          <w:kern w:val="0"/>
          <w:sz w:val="28"/>
          <w:szCs w:val="28"/>
          <w:lang w:val="en-US" w:eastAsia="zh-CN"/>
        </w:rPr>
        <w:t>GB19517-2023《国家电气设备安全技术规范》</w:t>
      </w:r>
      <w:r>
        <w:rPr>
          <w:rFonts w:hint="eastAsia" w:ascii="方正仿宋_GBK" w:hAnsi="仿宋" w:eastAsia="方正仿宋_GBK" w:cs="Times New Roman"/>
          <w:bCs/>
          <w:color w:val="auto"/>
          <w:kern w:val="0"/>
          <w:sz w:val="28"/>
          <w:szCs w:val="28"/>
          <w:lang w:val="en-US" w:eastAsia="zh-CN"/>
        </w:rPr>
        <w:t>、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GB/T37136--2018《电力用户供配电设施运行维护规范》、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DL/T596-2021《电力设备预防性试验规程》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等国家相关规定的标准。</w:t>
      </w:r>
    </w:p>
    <w:p>
      <w:pPr>
        <w:numPr>
          <w:ilvl w:val="-1"/>
          <w:numId w:val="0"/>
        </w:num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具体规范要求如下（包括但不限于）。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1.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投标方应依据高低压配电设备维护保养规范的要求和标准制定《高低压设备维护保养年度计划表》。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2.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保养期内，按签核的《高低压设备维护保养计划表》的要求、内容和有关规定进行维护保养，以及双方约定的保养项目、时间进行工作。每次保养工作完毕，双方应在《高低压设备维护保养记录》上签名确认，存档。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3.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高、低压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配电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柜、变压器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、高压电缆（高压柜至变压器段）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等高压电气设</w:t>
      </w:r>
      <w:r>
        <w:rPr>
          <w:rFonts w:hint="eastAsia" w:ascii="方正仿宋_GBK" w:hAnsi="仿宋" w:eastAsia="方正仿宋_GBK" w:cs="Times New Roman"/>
          <w:bCs/>
          <w:color w:val="auto"/>
          <w:kern w:val="0"/>
          <w:sz w:val="28"/>
          <w:szCs w:val="28"/>
        </w:rPr>
        <w:t>备</w:t>
      </w:r>
      <w:r>
        <w:rPr>
          <w:rFonts w:hint="eastAsia" w:ascii="方正仿宋_GBK" w:hAnsi="仿宋" w:eastAsia="方正仿宋_GBK" w:cs="Times New Roman"/>
          <w:bCs/>
          <w:color w:val="auto"/>
          <w:kern w:val="0"/>
          <w:sz w:val="28"/>
          <w:szCs w:val="28"/>
          <w:lang w:eastAsia="zh-CN"/>
        </w:rPr>
        <w:t>预防性试验同步完成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全面除尘、紧固维护，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对巡查发现的问题提供专业维修方案，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按《电气设备预防性试验规范》要求，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合理计划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维保周期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内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</w:rPr>
        <w:t>每三年至少进行两次预防性试验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确保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配电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设备安全运行。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val="en-US" w:eastAsia="zh-CN"/>
        </w:rPr>
        <w:t>预防性试验包括：全院区高压柜、变压器、低压总柜、高压电缆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4.发电机组：庆云院区1000KW柴油发电机1台、车载CT30KW发电机1台 ,草分部 80KW柴油发电机,龙潭院区1120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KW柴油发电机2台。当市电停电时柴油发电机应在 15S(15秒)内自动启动,提供应急；每月2次手动启动空载运行检测 ,每次运行时间15至20分钟。每年度更换一次机组配件。</w:t>
      </w:r>
    </w:p>
    <w:p>
      <w:pPr>
        <w:ind w:firstLine="560" w:firstLineChars="200"/>
        <w:rPr>
          <w:rFonts w:hint="default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5.每年度对医院建筑物进行1次防雷检测，并出具防雷检测报告。（防雷检测点位：全院重要点位233±5%个）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6.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维保期内，高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低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压配电设备出现紧急状况或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采购人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提出特殊紧急的维护、保养、检查要求时，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eastAsia="zh-CN"/>
        </w:rPr>
        <w:t>服务供应商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</w:rPr>
        <w:t>应在接到报修通</w:t>
      </w:r>
      <w:r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知</w:t>
      </w:r>
      <w:r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30分钟内远程指导响应，</w:t>
      </w:r>
      <w:r>
        <w:rPr>
          <w:rFonts w:hint="eastAsia" w:ascii="方正仿宋_GBK" w:hAnsi="仿宋" w:eastAsia="方正仿宋_GBK" w:cs="Times New Roman"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60分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</w:rPr>
        <w:t>钟内派员到达现场进行故障处理、维修和采取相应措施，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确保配电系统的正常运行。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7.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维保期内，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采购人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有重大检查、视察等活动或特殊情况，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服务供应商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应按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采购人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要求派遣专业维修人员到达现场，提供全程监护服务，确保高压配电系统的正常运行。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8.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服务供应商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应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按维保内容配电设备清单规格型号（附件），做好应急维修备品配件储存（清单数量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2%准备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）或签订第三方备件供应商，在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应急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的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情况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下</w:t>
      </w:r>
      <w:r>
        <w:rPr>
          <w:rFonts w:hint="eastAsia" w:ascii="方正仿宋_GBK" w:hAnsi="仿宋" w:eastAsia="方正仿宋_GBK" w:cs="Times New Roman"/>
          <w:bCs/>
          <w:color w:val="auto"/>
          <w:kern w:val="0"/>
          <w:sz w:val="28"/>
          <w:szCs w:val="28"/>
          <w:lang w:eastAsia="zh-CN"/>
        </w:rPr>
        <w:t>，要求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60分钟内提供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配件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，确保采购人应急供电应急需求。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（三）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日常维护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eastAsia="zh-CN"/>
        </w:rPr>
        <w:t>维修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</w:rPr>
        <w:t>要求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1.配电设备设施系统维修内容：操作机构故障、柜门变形、柜锁、母线螺栓、开关触点过松、仪表松动、接地线牢固、一次线路、二次线路整理、电容补偿、直流屏设备及系统、配电室内应急照明等。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2.配电室内外建筑、通道环境巡查：检查室内是否漏水、电缆进出口通道小动物孔洞及时封堵并进行处置，设备防湿措施、消防安全风险排查</w:t>
      </w:r>
      <w:r>
        <w:rPr>
          <w:rFonts w:hint="eastAsia" w:ascii="方正仿宋_GBK" w:hAnsi="仿宋" w:eastAsia="方正仿宋_GBK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3.清单范围内：一级、二级配电设备设施、地沟敷设电缆（含地沟积水</w:t>
      </w:r>
      <w:r>
        <w:rPr>
          <w:rFonts w:hint="eastAsia" w:ascii="方正仿宋_GBK" w:hAnsi="仿宋" w:eastAsia="方正仿宋_GBK" w:cs="Times New Roman"/>
          <w:bCs/>
          <w:color w:val="auto"/>
          <w:kern w:val="0"/>
          <w:sz w:val="28"/>
          <w:szCs w:val="28"/>
          <w:lang w:val="en-US" w:eastAsia="zh-CN"/>
        </w:rPr>
        <w:t>抽排清理、地沟电缆架高提升至水面上）、桥架敷设电缆至各层楼配电柜</w:t>
      </w:r>
      <w:r>
        <w:rPr>
          <w:rFonts w:hint="eastAsia" w:ascii="方正仿宋_GBK" w:hAnsi="仿宋" w:eastAsia="方正仿宋_GBK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  <w:t>，每月巡查2次。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仿宋" w:eastAsia="方正仿宋_GBK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  <w:t>4.清单范围内：UPS和EPS设备主机、电池、进出线路等，每月巡检1次，对UPS设备及电池进行评估。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仿宋" w:eastAsia="方正仿宋_GBK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val="en-US" w:eastAsia="zh-CN"/>
        </w:rPr>
        <w:t>预备有专业技术抢修队伍及抢修工具齐全。</w:t>
      </w:r>
    </w:p>
    <w:p>
      <w:p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</w:rPr>
        <w:t>提供用电日常维护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eastAsia="zh-CN"/>
        </w:rPr>
        <w:t>及应急维修方案和供用电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</w:rPr>
        <w:t>相关业务咨询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eastAsia="zh-CN"/>
        </w:rPr>
        <w:t>办理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</w:rPr>
        <w:t>服务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eastAsia="zh-CN"/>
        </w:rPr>
        <w:t>。</w:t>
      </w:r>
    </w:p>
    <w:p>
      <w:pPr>
        <w:ind w:firstLine="560" w:firstLineChars="200"/>
        <w:rPr>
          <w:rFonts w:hint="default" w:ascii="方正仿宋_GBK" w:hAnsi="仿宋" w:eastAsia="方正仿宋_GBK" w:cs="Times New Roman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val="en-US" w:eastAsia="zh-CN"/>
        </w:rPr>
        <w:t>7.非紧急情况下，在不影响医院用电前提内2天内完成维修，紧急情况下，要求</w:t>
      </w:r>
      <w:r>
        <w:rPr>
          <w:rFonts w:hint="eastAsia" w:ascii="方正仿宋_GBK" w:hAnsi="仿宋" w:eastAsia="方正仿宋_GBK" w:cs="Times New Roman"/>
          <w:bCs/>
          <w:color w:val="auto"/>
          <w:kern w:val="0"/>
          <w:sz w:val="28"/>
          <w:szCs w:val="28"/>
          <w:highlight w:val="none"/>
          <w:lang w:val="en-US" w:eastAsia="zh-CN"/>
        </w:rPr>
        <w:t>30分钟内响应远程抢修指导，60分钟内到现场进行维修。</w:t>
      </w:r>
    </w:p>
    <w:p>
      <w:pP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val="en-US" w:eastAsia="zh-CN"/>
        </w:rPr>
        <w:t xml:space="preserve">   （四）对采购人配电系统进行安全评估</w:t>
      </w:r>
    </w:p>
    <w:p>
      <w:pP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val="en-US" w:eastAsia="zh-CN"/>
        </w:rPr>
        <w:t xml:space="preserve">    安全评估内容包括龙潭、庆云院区、草分部配电系统高低压设备设施、二级配电、电缆、电缆通道、层楼配电箱等设备设施，评估报告频次要求：</w:t>
      </w:r>
    </w:p>
    <w:p>
      <w:pPr>
        <w:numPr>
          <w:ilvl w:val="0"/>
          <w:numId w:val="2"/>
        </w:num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val="en-US" w:eastAsia="zh-CN"/>
        </w:rPr>
        <w:t>每季度出具1次运行安全评估报告，内容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包括：日常巡查、维修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val="en-US" w:eastAsia="zh-CN"/>
        </w:rPr>
        <w:t>台账等。</w:t>
      </w:r>
    </w:p>
    <w:p>
      <w:pPr>
        <w:numPr>
          <w:ilvl w:val="0"/>
          <w:numId w:val="0"/>
        </w:numP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val="en-US" w:eastAsia="zh-CN"/>
        </w:rPr>
        <w:t xml:space="preserve">    2.每半年出具1次高低压配电设备设施运行安全评估报告，内容包括配电防护用品等。</w:t>
      </w:r>
    </w:p>
    <w:p>
      <w:pPr>
        <w:numPr>
          <w:ilvl w:val="0"/>
          <w:numId w:val="3"/>
        </w:numPr>
        <w:ind w:firstLine="560" w:firstLineChars="200"/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highlight w:val="none"/>
          <w:lang w:val="en-US" w:eastAsia="zh-CN"/>
        </w:rPr>
        <w:t>每年出具年度1次安全评估总结报告,并提出</w:t>
      </w: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下年度维保计划。</w:t>
      </w:r>
    </w:p>
    <w:p>
      <w:pPr>
        <w:numPr>
          <w:ilvl w:val="0"/>
          <w:numId w:val="0"/>
        </w:numP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4"/>
        </w:numPr>
        <w:ind w:left="640" w:leftChars="0" w:firstLine="0" w:firstLineChars="0"/>
        <w:rPr>
          <w:rFonts w:hint="eastAsia" w:ascii="方正仿宋_GBK" w:hAnsi="仿宋" w:eastAsia="方正仿宋_GBK" w:cs="Times New Roman"/>
          <w:b/>
          <w:bCs w:val="0"/>
          <w:kern w:val="0"/>
          <w:sz w:val="28"/>
          <w:szCs w:val="28"/>
          <w:lang w:eastAsia="zh-CN"/>
        </w:rPr>
      </w:pPr>
      <w:r>
        <w:rPr>
          <w:rFonts w:hint="eastAsia" w:ascii="方正仿宋_GBK" w:hAnsi="仿宋" w:eastAsia="方正仿宋_GBK" w:cs="Times New Roman"/>
          <w:b/>
          <w:bCs w:val="0"/>
          <w:kern w:val="0"/>
          <w:sz w:val="28"/>
          <w:szCs w:val="28"/>
        </w:rPr>
        <w:t>项目</w:t>
      </w:r>
      <w:r>
        <w:rPr>
          <w:rFonts w:hint="eastAsia" w:ascii="方正仿宋_GBK" w:hAnsi="仿宋" w:eastAsia="方正仿宋_GBK" w:cs="Times New Roman"/>
          <w:b/>
          <w:bCs w:val="0"/>
          <w:kern w:val="0"/>
          <w:sz w:val="28"/>
          <w:szCs w:val="28"/>
          <w:lang w:eastAsia="zh-CN"/>
        </w:rPr>
        <w:t>内容</w:t>
      </w:r>
      <w:r>
        <w:rPr>
          <w:rFonts w:hint="eastAsia" w:ascii="方正仿宋_GBK" w:hAnsi="仿宋" w:eastAsia="方正仿宋_GBK" w:cs="Times New Roman"/>
          <w:b/>
          <w:bCs w:val="0"/>
          <w:kern w:val="0"/>
          <w:sz w:val="28"/>
          <w:szCs w:val="28"/>
        </w:rPr>
        <w:t>清单</w:t>
      </w:r>
      <w:r>
        <w:rPr>
          <w:rFonts w:hint="eastAsia" w:ascii="方正仿宋_GBK" w:hAnsi="仿宋" w:eastAsia="方正仿宋_GBK" w:cs="Times New Roman"/>
          <w:b/>
          <w:bCs w:val="0"/>
          <w:kern w:val="0"/>
          <w:sz w:val="28"/>
          <w:szCs w:val="28"/>
          <w:lang w:eastAsia="zh-CN"/>
        </w:rPr>
        <w:t>及报价（</w:t>
      </w:r>
      <w:r>
        <w:rPr>
          <w:rFonts w:hint="eastAsia" w:ascii="方正仿宋_GBK" w:hAnsi="仿宋" w:eastAsia="方正仿宋_GBK" w:cs="Times New Roman"/>
          <w:b/>
          <w:bCs w:val="0"/>
          <w:kern w:val="0"/>
          <w:sz w:val="28"/>
          <w:szCs w:val="28"/>
          <w:lang w:val="en-US" w:eastAsia="zh-CN"/>
        </w:rPr>
        <w:t>厂家、型号</w:t>
      </w:r>
      <w:r>
        <w:rPr>
          <w:rFonts w:hint="eastAsia" w:ascii="方正仿宋_GBK" w:hAnsi="仿宋" w:eastAsia="方正仿宋_GBK" w:cs="Times New Roman"/>
          <w:b/>
          <w:bCs w:val="0"/>
          <w:kern w:val="0"/>
          <w:sz w:val="28"/>
          <w:szCs w:val="28"/>
          <w:lang w:eastAsia="zh-CN"/>
        </w:rPr>
        <w:t>）</w:t>
      </w:r>
    </w:p>
    <w:tbl>
      <w:tblPr>
        <w:tblStyle w:val="7"/>
        <w:tblW w:w="7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788"/>
        <w:gridCol w:w="372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5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成都市第二人民医院配电系统维保设备设施清单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系统设备</w:t>
            </w:r>
          </w:p>
        </w:tc>
        <w:tc>
          <w:tcPr>
            <w:tcW w:w="1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庆云院区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高压系统设备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10KV高压进线柜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10KV高压出线柜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10KV高压PT柜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10KV高压计量柜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10KV高压联络柜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10KV高压隔离柜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1600KVA干式变压器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低压系统设备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直流屏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低压柜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接地系统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1.2.3.4号楼低压电缆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二级配电柜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层楼配电柜（箱）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配电设备设施预防性试验（最新标准）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龙潭院区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高压系统设备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10KV高压进线柜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10KV高压出线柜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10KV高压PT柜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10KV高压计量柜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10KV高压联络柜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10KV高压隔离柜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2000KVA干式变压器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低压系统设备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直流屏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低压柜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接地系统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总配至各楼层户电缆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层楼配电柜（箱）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配电设备设施预防性试验（最新标准）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草分部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箱式变压器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10KV箱式变压器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（含箱内所有元器件）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低压部分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至各楼层户电缆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层楼配电柜（箱）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配电设备设施预防性试验（最新标准）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庆云、龙潭院区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UPS维保、电池更换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庆云院区：维保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1号楼二级配电室内儿科病区、呼吸科病区2台（30KW、60KW各一台）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庆云院区：电池更换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电池规格：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 AH /只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龙潭院区：维保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草分部：维保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EPS电源维保、更换电池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庆云院区：维保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2号楼手术室、ICU、CCU、急诊科4台套EPS电源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庆云院区：电池更换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龙潭院区：维保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EPS维保（各层楼）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配电系统安全评估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龙潭、庆云院区、草分部：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安全评估内容包括配电系统高低压设备设施、二级配电、电缆、电缆通道、层楼配电箱等设备设施</w:t>
            </w: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8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="640" w:leftChars="0"/>
        <w:rPr>
          <w:rFonts w:hint="eastAsia" w:ascii="方正仿宋_GBK" w:hAnsi="仿宋" w:eastAsia="方正仿宋_GBK" w:cs="Times New Roman"/>
          <w:b/>
          <w:bCs w:val="0"/>
          <w:kern w:val="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="480" w:leftChars="0"/>
        <w:jc w:val="left"/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  <w:t>报价说明：</w:t>
      </w:r>
    </w:p>
    <w:p>
      <w:pPr>
        <w:numPr>
          <w:ilvl w:val="0"/>
          <w:numId w:val="0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本次报价分为2部分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ind w:left="48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第一部分为维保报价(包含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预防性试验、*防雷检测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巡查巡检、日常维修</w:t>
      </w:r>
      <w:r>
        <w:rPr>
          <w:rFonts w:ascii="宋体" w:hAnsi="宋体" w:eastAsia="宋体" w:cs="宋体"/>
          <w:color w:val="auto"/>
          <w:sz w:val="24"/>
          <w:szCs w:val="24"/>
        </w:rPr>
        <w:t>等所有人工、税收、措施费等綜合费用)；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="480" w:leftChars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第二部分为维修所需配件按清单报价（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配件价格为</w:t>
      </w:r>
      <w:r>
        <w:rPr>
          <w:rFonts w:ascii="宋体" w:hAnsi="宋体" w:eastAsia="宋体" w:cs="宋体"/>
          <w:sz w:val="24"/>
          <w:szCs w:val="24"/>
        </w:rPr>
        <w:t>综合单价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包含材料、运输、安装、调试、人工、税费等</w:t>
      </w:r>
      <w:r>
        <w:rPr>
          <w:rFonts w:ascii="宋体" w:hAnsi="宋体" w:eastAsia="宋体" w:cs="宋体"/>
          <w:sz w:val="24"/>
          <w:szCs w:val="24"/>
        </w:rPr>
        <w:t>）</w:t>
      </w:r>
    </w:p>
    <w:p>
      <w:pPr>
        <w:autoSpaceDE w:val="0"/>
        <w:autoSpaceDN w:val="0"/>
        <w:spacing w:line="360" w:lineRule="auto"/>
        <w:ind w:firstLine="482" w:firstLineChars="200"/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附件 </w:t>
      </w:r>
    </w:p>
    <w:p>
      <w:pPr>
        <w:adjustRightIn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报价一览表</w:t>
      </w:r>
    </w:p>
    <w:tbl>
      <w:tblPr>
        <w:tblStyle w:val="7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845"/>
        <w:gridCol w:w="1490"/>
        <w:gridCol w:w="2689"/>
        <w:gridCol w:w="19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tblHeader/>
          <w:jc w:val="center"/>
        </w:trPr>
        <w:tc>
          <w:tcPr>
            <w:tcW w:w="5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20" w:leftChars="-57" w:right="-109" w:rightChars="-52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49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20" w:leftChars="-57" w:right="-168" w:rightChars="-8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预估数量</w:t>
            </w:r>
          </w:p>
        </w:tc>
        <w:tc>
          <w:tcPr>
            <w:tcW w:w="268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20" w:leftChars="-57" w:right="-168" w:rightChars="-8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报价</w:t>
            </w:r>
          </w:p>
        </w:tc>
        <w:tc>
          <w:tcPr>
            <w:tcW w:w="19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left="-120" w:leftChars="-57" w:right="-168" w:rightChars="-8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5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20" w:leftChars="-57" w:right="-109" w:rightChars="-5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护保养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服务费</w:t>
            </w:r>
          </w:p>
        </w:tc>
        <w:tc>
          <w:tcPr>
            <w:tcW w:w="14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1项</w:t>
            </w:r>
          </w:p>
        </w:tc>
        <w:tc>
          <w:tcPr>
            <w:tcW w:w="26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人民币        元/年</w:t>
            </w:r>
          </w:p>
        </w:tc>
        <w:tc>
          <w:tcPr>
            <w:tcW w:w="19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庆云院区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52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20" w:leftChars="-57" w:right="-109" w:rightChars="-5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1项</w:t>
            </w:r>
          </w:p>
        </w:tc>
        <w:tc>
          <w:tcPr>
            <w:tcW w:w="26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人民币        元/年</w:t>
            </w:r>
          </w:p>
        </w:tc>
        <w:tc>
          <w:tcPr>
            <w:tcW w:w="19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草分部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52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20" w:leftChars="-57" w:right="-109" w:rightChars="-5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1项</w:t>
            </w:r>
          </w:p>
        </w:tc>
        <w:tc>
          <w:tcPr>
            <w:tcW w:w="26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人民币        元/年</w:t>
            </w:r>
          </w:p>
        </w:tc>
        <w:tc>
          <w:tcPr>
            <w:tcW w:w="19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龙潭院区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85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人民币        元/年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全院区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20" w:leftChars="-57" w:right="-109" w:rightChars="-5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预防性试验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人民币        元/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全院区高压柜、变压器、低压总柜、高压电缆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20" w:leftChars="-57" w:right="-109" w:rightChars="-52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防雷检测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人民币        元/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全院重要点位共计233个（±5%）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20" w:leftChars="-57" w:right="-109" w:rightChars="-52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109" w:leftChars="-52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pacing w:line="360" w:lineRule="auto"/>
        <w:ind w:firstLine="482" w:firstLineChars="200"/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autoSpaceDE w:val="0"/>
        <w:autoSpaceDN w:val="0"/>
        <w:spacing w:line="360" w:lineRule="auto"/>
        <w:ind w:firstLine="482" w:firstLineChars="200"/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autoSpaceDE w:val="0"/>
        <w:autoSpaceDN w:val="0"/>
        <w:spacing w:line="360" w:lineRule="auto"/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autoSpaceDE w:val="0"/>
        <w:autoSpaceDN w:val="0"/>
        <w:spacing w:line="360" w:lineRule="auto"/>
        <w:ind w:firstLine="482" w:firstLineChars="200"/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autoSpaceDE w:val="0"/>
        <w:autoSpaceDN w:val="0"/>
        <w:spacing w:line="360" w:lineRule="auto"/>
        <w:ind w:firstLine="482" w:firstLineChars="200"/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五、报价单位资格要求: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营业执照、组织机构代码、税务登记证（三证合一的提供营业执照）；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具有依法缴纳税收和社会保障资金的良好记录；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5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参加本次采购活动前三年内，在经营活动中没有重大违法记录；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本项目不接受联合体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7.具有五级及以上承装（修、试）电力设施许可证；</w:t>
      </w:r>
    </w:p>
    <w:p>
      <w:pPr>
        <w:numPr>
          <w:ilvl w:val="0"/>
          <w:numId w:val="0"/>
        </w:numPr>
        <w:ind w:left="560" w:hanging="560" w:hangingChars="200"/>
        <w:jc w:val="left"/>
        <w:rPr>
          <w:rFonts w:hint="eastAsia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</w:pPr>
    </w:p>
    <w:p>
      <w:pPr>
        <w:ind w:firstLine="420" w:firstLineChars="150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</w:pPr>
    </w:p>
    <w:p>
      <w:pPr>
        <w:ind w:firstLine="420" w:firstLineChars="150"/>
        <w:rPr>
          <w:rFonts w:hint="eastAsia" w:ascii="宋体" w:hAnsi="宋体" w:cs="宋体" w:eastAsiaTheme="minorEastAsia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附件：龙潭、庆云、草分部配电设备清单。</w:t>
      </w:r>
    </w:p>
    <w:p>
      <w:pPr>
        <w:rPr>
          <w:rFonts w:hint="eastAsia" w:ascii="方正仿宋_GBK" w:hAnsi="仿宋" w:eastAsia="方正仿宋_GBK" w:cs="Times New Roman"/>
          <w:b/>
          <w:bCs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方正仿宋_GBK" w:hAnsi="仿宋" w:eastAsia="方正仿宋_GBK" w:cs="Times New Roman"/>
          <w:bCs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7AD6756-075B-40B3-A26F-2ED1429818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413E66D-185B-40C5-9996-B7B01B84A6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1F519"/>
    <w:multiLevelType w:val="singleLevel"/>
    <w:tmpl w:val="C121F519"/>
    <w:lvl w:ilvl="0" w:tentative="0">
      <w:start w:val="4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093EC6D7"/>
    <w:multiLevelType w:val="singleLevel"/>
    <w:tmpl w:val="093EC6D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4756AE2"/>
    <w:multiLevelType w:val="singleLevel"/>
    <w:tmpl w:val="64756AE2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4756B86"/>
    <w:multiLevelType w:val="singleLevel"/>
    <w:tmpl w:val="64756B86"/>
    <w:lvl w:ilvl="0" w:tentative="0">
      <w:start w:val="3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ZjBiZGY3NDY1MDM4ZWJlNWE4Njk2MzVkM2E3YWQifQ=="/>
  </w:docVars>
  <w:rsids>
    <w:rsidRoot w:val="00875095"/>
    <w:rsid w:val="000C7FC6"/>
    <w:rsid w:val="002B5AF3"/>
    <w:rsid w:val="007A3EE0"/>
    <w:rsid w:val="00875095"/>
    <w:rsid w:val="009028CE"/>
    <w:rsid w:val="00B04BCA"/>
    <w:rsid w:val="00BA617C"/>
    <w:rsid w:val="02E21A7A"/>
    <w:rsid w:val="04BD6AAF"/>
    <w:rsid w:val="04EF022A"/>
    <w:rsid w:val="05A606B3"/>
    <w:rsid w:val="05F81B6E"/>
    <w:rsid w:val="06854B12"/>
    <w:rsid w:val="08253002"/>
    <w:rsid w:val="09252C03"/>
    <w:rsid w:val="097B6B0E"/>
    <w:rsid w:val="098414FB"/>
    <w:rsid w:val="09B1481E"/>
    <w:rsid w:val="09D44E7D"/>
    <w:rsid w:val="0B624227"/>
    <w:rsid w:val="0C4551C1"/>
    <w:rsid w:val="0CF82A6D"/>
    <w:rsid w:val="12465659"/>
    <w:rsid w:val="17655B40"/>
    <w:rsid w:val="181917AC"/>
    <w:rsid w:val="18B958FE"/>
    <w:rsid w:val="18CD3A1E"/>
    <w:rsid w:val="1BAD3BCF"/>
    <w:rsid w:val="1C9F1CE2"/>
    <w:rsid w:val="1F626D29"/>
    <w:rsid w:val="201003BF"/>
    <w:rsid w:val="25E406A4"/>
    <w:rsid w:val="293B7327"/>
    <w:rsid w:val="2A582EA2"/>
    <w:rsid w:val="2A6361B9"/>
    <w:rsid w:val="2B9A258D"/>
    <w:rsid w:val="2E426A2D"/>
    <w:rsid w:val="2F6B4141"/>
    <w:rsid w:val="30C97942"/>
    <w:rsid w:val="32B92D7C"/>
    <w:rsid w:val="332E340D"/>
    <w:rsid w:val="340972EB"/>
    <w:rsid w:val="3A107F6C"/>
    <w:rsid w:val="3A8D395D"/>
    <w:rsid w:val="3F416CCC"/>
    <w:rsid w:val="40C96802"/>
    <w:rsid w:val="43E73FDF"/>
    <w:rsid w:val="47233421"/>
    <w:rsid w:val="4778001A"/>
    <w:rsid w:val="4A991E77"/>
    <w:rsid w:val="4C63750C"/>
    <w:rsid w:val="4D1C67B2"/>
    <w:rsid w:val="4EC7460D"/>
    <w:rsid w:val="4F820F5D"/>
    <w:rsid w:val="51A00EB5"/>
    <w:rsid w:val="52EE442C"/>
    <w:rsid w:val="53150C81"/>
    <w:rsid w:val="54223138"/>
    <w:rsid w:val="54D43CC2"/>
    <w:rsid w:val="55C50B75"/>
    <w:rsid w:val="56051C4C"/>
    <w:rsid w:val="56343E9A"/>
    <w:rsid w:val="57D00194"/>
    <w:rsid w:val="58B322BD"/>
    <w:rsid w:val="59C96C42"/>
    <w:rsid w:val="59E65FF3"/>
    <w:rsid w:val="5CDB3874"/>
    <w:rsid w:val="5D4E1BEA"/>
    <w:rsid w:val="5D802125"/>
    <w:rsid w:val="5ED8103D"/>
    <w:rsid w:val="5F5F4CF9"/>
    <w:rsid w:val="605F5EBC"/>
    <w:rsid w:val="60D82C2B"/>
    <w:rsid w:val="60DA4F9F"/>
    <w:rsid w:val="61134620"/>
    <w:rsid w:val="65D827AC"/>
    <w:rsid w:val="69663228"/>
    <w:rsid w:val="69997DFA"/>
    <w:rsid w:val="6B423EDD"/>
    <w:rsid w:val="6CEB2F6C"/>
    <w:rsid w:val="6DEF1A3B"/>
    <w:rsid w:val="72206F46"/>
    <w:rsid w:val="722C2F3D"/>
    <w:rsid w:val="73B359A9"/>
    <w:rsid w:val="74234F34"/>
    <w:rsid w:val="74F82CD1"/>
    <w:rsid w:val="778C0B42"/>
    <w:rsid w:val="7898722A"/>
    <w:rsid w:val="79B25F69"/>
    <w:rsid w:val="7B5F2FC5"/>
    <w:rsid w:val="7C6A7BE4"/>
    <w:rsid w:val="7D536428"/>
    <w:rsid w:val="7E19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unhideWhenUsed/>
    <w:qFormat/>
    <w:uiPriority w:val="99"/>
    <w:pPr>
      <w:spacing w:after="120"/>
    </w:pPr>
  </w:style>
  <w:style w:type="paragraph" w:styleId="3">
    <w:name w:val="Body Text Indent"/>
    <w:basedOn w:val="1"/>
    <w:link w:val="10"/>
    <w:autoRedefine/>
    <w:unhideWhenUsed/>
    <w:qFormat/>
    <w:uiPriority w:val="99"/>
    <w:pPr>
      <w:spacing w:before="100" w:beforeAutospacing="1" w:after="120"/>
      <w:ind w:left="420" w:leftChars="200"/>
    </w:pPr>
    <w:rPr>
      <w:rFonts w:ascii="Times New Roman" w:hAnsi="Times New Roman" w:eastAsia="宋体" w:cs="Times New Roman"/>
      <w:szCs w:val="21"/>
    </w:rPr>
  </w:style>
  <w:style w:type="paragraph" w:styleId="4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正文文本缩进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1">
    <w:name w:val="正文文本 Char"/>
    <w:basedOn w:val="8"/>
    <w:link w:val="2"/>
    <w:autoRedefine/>
    <w:semiHidden/>
    <w:qFormat/>
    <w:uiPriority w:val="99"/>
  </w:style>
  <w:style w:type="paragraph" w:customStyle="1" w:styleId="12">
    <w:name w:val="p0"/>
    <w:basedOn w:val="1"/>
    <w:autoRedefine/>
    <w:qFormat/>
    <w:uiPriority w:val="0"/>
    <w:rPr>
      <w:rFonts w:ascii="Calibri" w:hAnsi="Calibri" w:cs="宋体"/>
      <w:kern w:val="0"/>
    </w:rPr>
  </w:style>
  <w:style w:type="paragraph" w:customStyle="1" w:styleId="13">
    <w:name w:val="p18"/>
    <w:basedOn w:val="1"/>
    <w:autoRedefine/>
    <w:qFormat/>
    <w:uiPriority w:val="0"/>
    <w:pPr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3353</Words>
  <Characters>3710</Characters>
  <Lines>4</Lines>
  <Paragraphs>1</Paragraphs>
  <TotalTime>25</TotalTime>
  <ScaleCrop>false</ScaleCrop>
  <LinksUpToDate>false</LinksUpToDate>
  <CharactersWithSpaces>3741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2023-05-18T07:10:00Z</dcterms:created>
  <dc:creator>dell</dc:creator>
  <cp:lastModifiedBy>王邦丞</cp:lastModifiedBy>
  <cp:lastPrinted>2024-04-08T06:33:00Z</cp:lastPrinted>
  <dcterms:modified xsi:type="dcterms:W3CDTF">2024-04-08T06:48:55Z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B2F20968DBC947638222506043B159E4_13</vt:lpwstr>
  </property>
</Properties>
</file>