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报价函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成都市第二人民医院：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w:t>
      </w:r>
      <w:r>
        <w:rPr>
          <w:rFonts w:hint="eastAsia" w:ascii="方正仿宋_GB2312" w:hAnsi="方正仿宋_GB2312" w:eastAsia="方正仿宋_GB2312" w:cs="方正仿宋_GB2312"/>
          <w:sz w:val="32"/>
          <w:szCs w:val="32"/>
          <w:highlight w:val="none"/>
        </w:rPr>
        <w:t>成都市第二人民医院《YKL-40通过NLRP3炎症体信号通路介导肥大细胞活化参与慢性自发性荨麻疹发病的机制研究》课题</w:t>
      </w:r>
      <w:r>
        <w:rPr>
          <w:rFonts w:hint="eastAsia" w:ascii="方正仿宋_GB2312" w:hAnsi="方正仿宋_GB2312" w:eastAsia="方正仿宋_GB2312" w:cs="方正仿宋_GB2312"/>
          <w:sz w:val="32"/>
          <w:szCs w:val="32"/>
          <w:highlight w:val="none"/>
          <w:lang w:val="en-US" w:eastAsia="zh-CN"/>
        </w:rPr>
        <w:t>检测服务</w:t>
      </w:r>
      <w:r>
        <w:rPr>
          <w:rFonts w:hint="eastAsia" w:ascii="方正仿宋_GB2312" w:hAnsi="方正仿宋_GB2312" w:eastAsia="方正仿宋_GB2312" w:cs="方正仿宋_GB2312"/>
          <w:sz w:val="32"/>
          <w:szCs w:val="32"/>
          <w:highlight w:val="none"/>
        </w:rPr>
        <w:t>采购项目</w:t>
      </w:r>
      <w:r>
        <w:rPr>
          <w:rFonts w:hint="eastAsia" w:ascii="方正仿宋_GBK" w:hAnsi="方正仿宋_GBK" w:eastAsia="方正仿宋_GBK" w:cs="方正仿宋_GBK"/>
          <w:color w:val="000000"/>
          <w:sz w:val="32"/>
          <w:szCs w:val="32"/>
          <w:lang w:val="en-US" w:eastAsia="zh-CN"/>
        </w:rPr>
        <w:t>需求，我公司仔细研究，具体报价如下：</w:t>
      </w:r>
    </w:p>
    <w:p>
      <w:pPr>
        <w:spacing w:line="480" w:lineRule="auto"/>
        <w:rPr>
          <w:rFonts w:hint="eastAsia" w:ascii="宋体" w:hAnsi="宋体" w:eastAsia="宋体"/>
          <w:sz w:val="28"/>
          <w:szCs w:val="28"/>
        </w:rPr>
      </w:pPr>
      <w:bookmarkStart w:id="1" w:name="_GoBack"/>
      <w:bookmarkEnd w:id="1"/>
    </w:p>
    <w:tbl>
      <w:tblPr>
        <w:tblStyle w:val="3"/>
        <w:tblW w:w="5000" w:type="pct"/>
        <w:tblInd w:w="0" w:type="dxa"/>
        <w:tblLayout w:type="fixed"/>
        <w:tblCellMar>
          <w:top w:w="0" w:type="dxa"/>
          <w:left w:w="108" w:type="dxa"/>
          <w:bottom w:w="0" w:type="dxa"/>
          <w:right w:w="108" w:type="dxa"/>
        </w:tblCellMar>
      </w:tblPr>
      <w:tblGrid>
        <w:gridCol w:w="693"/>
        <w:gridCol w:w="1125"/>
        <w:gridCol w:w="850"/>
        <w:gridCol w:w="2725"/>
        <w:gridCol w:w="770"/>
        <w:gridCol w:w="1200"/>
        <w:gridCol w:w="1159"/>
      </w:tblGrid>
      <w:tr>
        <w:tblPrEx>
          <w:tblCellMar>
            <w:top w:w="0" w:type="dxa"/>
            <w:left w:w="108" w:type="dxa"/>
            <w:bottom w:w="0" w:type="dxa"/>
            <w:right w:w="108" w:type="dxa"/>
          </w:tblCellMar>
        </w:tblPrEx>
        <w:trPr>
          <w:trHeight w:val="1248" w:hRule="atLeast"/>
        </w:trPr>
        <w:tc>
          <w:tcPr>
            <w:tcW w:w="40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rPr>
            </w:pPr>
            <w:r>
              <w:rPr>
                <w:color w:val="000000"/>
                <w:kern w:val="0"/>
                <w:sz w:val="22"/>
              </w:rPr>
              <w:t>序号</w:t>
            </w:r>
          </w:p>
        </w:tc>
        <w:tc>
          <w:tcPr>
            <w:tcW w:w="660"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22"/>
              </w:rPr>
            </w:pPr>
            <w:r>
              <w:rPr>
                <w:color w:val="000000"/>
                <w:kern w:val="0"/>
                <w:sz w:val="22"/>
              </w:rPr>
              <w:t>名称</w:t>
            </w:r>
          </w:p>
        </w:tc>
        <w:tc>
          <w:tcPr>
            <w:tcW w:w="498"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22"/>
              </w:rPr>
            </w:pPr>
            <w:r>
              <w:rPr>
                <w:color w:val="000000"/>
                <w:kern w:val="0"/>
                <w:sz w:val="22"/>
              </w:rPr>
              <w:t>规格</w:t>
            </w:r>
          </w:p>
        </w:tc>
        <w:tc>
          <w:tcPr>
            <w:tcW w:w="1598" w:type="pct"/>
            <w:tcBorders>
              <w:top w:val="single" w:color="auto" w:sz="4" w:space="0"/>
              <w:left w:val="nil"/>
              <w:bottom w:val="single" w:color="auto" w:sz="4" w:space="0"/>
              <w:right w:val="single" w:color="auto" w:sz="4" w:space="0"/>
            </w:tcBorders>
            <w:noWrap/>
            <w:vAlign w:val="center"/>
          </w:tcPr>
          <w:p>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参数</w:t>
            </w: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hint="eastAsia" w:asciiTheme="minorHAnsi" w:hAnsiTheme="minorHAnsi" w:eastAsiaTheme="minorEastAsia" w:cstheme="minorBidi"/>
                <w:color w:val="000000"/>
                <w:kern w:val="0"/>
                <w:sz w:val="22"/>
                <w:szCs w:val="24"/>
                <w:lang w:val="en-US" w:eastAsia="zh-CN" w:bidi="ar-SA"/>
              </w:rPr>
            </w:pPr>
            <w:r>
              <w:rPr>
                <w:color w:val="000000"/>
                <w:kern w:val="0"/>
                <w:sz w:val="22"/>
              </w:rPr>
              <w:t>预估</w:t>
            </w:r>
            <w:r>
              <w:rPr>
                <w:rFonts w:hint="eastAsia"/>
                <w:color w:val="000000"/>
                <w:kern w:val="0"/>
                <w:sz w:val="22"/>
              </w:rPr>
              <w:t>数</w:t>
            </w:r>
            <w:r>
              <w:rPr>
                <w:color w:val="000000"/>
                <w:kern w:val="0"/>
                <w:sz w:val="22"/>
              </w:rPr>
              <w:t>量</w:t>
            </w:r>
          </w:p>
        </w:tc>
        <w:tc>
          <w:tcPr>
            <w:tcW w:w="704" w:type="pct"/>
            <w:tcBorders>
              <w:top w:val="single" w:color="auto" w:sz="4" w:space="0"/>
              <w:left w:val="nil"/>
              <w:bottom w:val="single" w:color="auto" w:sz="4" w:space="0"/>
              <w:right w:val="single" w:color="auto" w:sz="4" w:space="0"/>
            </w:tcBorders>
            <w:noWrap/>
            <w:vAlign w:val="center"/>
          </w:tcPr>
          <w:p>
            <w:pPr>
              <w:widowControl/>
              <w:jc w:val="center"/>
              <w:rPr>
                <w:rFonts w:hint="eastAsia"/>
                <w:color w:val="000000"/>
                <w:kern w:val="0"/>
                <w:sz w:val="21"/>
                <w:szCs w:val="21"/>
                <w:lang w:val="en-US" w:eastAsia="zh-CN"/>
              </w:rPr>
            </w:pPr>
            <w:r>
              <w:rPr>
                <w:rFonts w:hint="eastAsia"/>
                <w:color w:val="000000"/>
                <w:kern w:val="0"/>
                <w:sz w:val="22"/>
                <w:lang w:val="en-US" w:eastAsia="zh-CN"/>
              </w:rPr>
              <w:t>单价（元）</w:t>
            </w:r>
          </w:p>
        </w:tc>
        <w:tc>
          <w:tcPr>
            <w:tcW w:w="680" w:type="pct"/>
            <w:tcBorders>
              <w:top w:val="single" w:color="auto" w:sz="4" w:space="0"/>
              <w:left w:val="nil"/>
              <w:bottom w:val="single" w:color="auto" w:sz="4" w:space="0"/>
              <w:right w:val="single" w:color="auto" w:sz="4" w:space="0"/>
            </w:tcBorders>
            <w:noWrap/>
            <w:vAlign w:val="center"/>
          </w:tcPr>
          <w:p>
            <w:pPr>
              <w:widowControl/>
              <w:jc w:val="center"/>
              <w:rPr>
                <w:rFonts w:hint="eastAsia"/>
                <w:color w:val="000000"/>
                <w:kern w:val="0"/>
                <w:sz w:val="22"/>
                <w:lang w:val="en-US" w:eastAsia="zh-CN"/>
              </w:rPr>
            </w:pPr>
            <w:r>
              <w:rPr>
                <w:rFonts w:hint="eastAsia"/>
                <w:color w:val="000000"/>
                <w:kern w:val="0"/>
                <w:sz w:val="22"/>
                <w:lang w:val="en-US" w:eastAsia="zh-CN"/>
              </w:rPr>
              <w:t>总价（元）</w:t>
            </w:r>
          </w:p>
        </w:tc>
      </w:tr>
      <w:tr>
        <w:tblPrEx>
          <w:tblCellMar>
            <w:top w:w="0" w:type="dxa"/>
            <w:left w:w="108" w:type="dxa"/>
            <w:bottom w:w="0" w:type="dxa"/>
            <w:right w:w="108" w:type="dxa"/>
          </w:tblCellMar>
        </w:tblPrEx>
        <w:trPr>
          <w:trHeight w:val="1248" w:hRule="atLeast"/>
        </w:trPr>
        <w:tc>
          <w:tcPr>
            <w:tcW w:w="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olor w:val="000000"/>
                <w:kern w:val="0"/>
                <w:sz w:val="22"/>
                <w:lang w:val="en-US" w:eastAsia="zh-CN"/>
              </w:rPr>
            </w:pPr>
            <w:bookmarkStart w:id="0" w:name="OLE_LINK1" w:colFirst="1" w:colLast="1"/>
            <w:r>
              <w:rPr>
                <w:rFonts w:hint="eastAsia"/>
                <w:color w:val="000000"/>
                <w:kern w:val="0"/>
                <w:sz w:val="22"/>
              </w:rPr>
              <w:t>1</w:t>
            </w:r>
          </w:p>
        </w:tc>
        <w:tc>
          <w:tcPr>
            <w:tcW w:w="11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转录组测序</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次</w:t>
            </w:r>
          </w:p>
        </w:tc>
        <w:tc>
          <w:tcPr>
            <w:tcW w:w="2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包括干冰+运费、RNA提取、上机和分析；提供原始数据+分析数据；包含所有耗材，且研究生可以参与工作；</w:t>
            </w:r>
          </w:p>
        </w:tc>
        <w:tc>
          <w:tcPr>
            <w:tcW w:w="7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r>
      <w:tr>
        <w:tblPrEx>
          <w:tblCellMar>
            <w:top w:w="0" w:type="dxa"/>
            <w:left w:w="108" w:type="dxa"/>
            <w:bottom w:w="0" w:type="dxa"/>
            <w:right w:w="108" w:type="dxa"/>
          </w:tblCellMar>
        </w:tblPrEx>
        <w:trPr>
          <w:trHeight w:val="1248" w:hRule="atLeast"/>
        </w:trPr>
        <w:tc>
          <w:tcPr>
            <w:tcW w:w="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olor w:val="000000"/>
                <w:kern w:val="0"/>
                <w:sz w:val="22"/>
                <w:lang w:val="en-US" w:eastAsia="zh-CN"/>
              </w:rPr>
            </w:pPr>
            <w:r>
              <w:rPr>
                <w:rFonts w:hint="eastAsia"/>
                <w:color w:val="000000"/>
                <w:kern w:val="0"/>
                <w:sz w:val="22"/>
              </w:rPr>
              <w:t>2</w:t>
            </w:r>
          </w:p>
        </w:tc>
        <w:tc>
          <w:tcPr>
            <w:tcW w:w="11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慢病毒包装（</w:t>
            </w:r>
            <w:r>
              <w:rPr>
                <w:rFonts w:hint="default" w:ascii="方正仿宋_GBK" w:hAnsi="方正仿宋_GBK" w:eastAsia="方正仿宋_GBK" w:cs="方正仿宋_GBK"/>
                <w:lang w:val="en-US" w:eastAsia="zh-CN"/>
              </w:rPr>
              <w:t>YKL-40</w:t>
            </w:r>
            <w:r>
              <w:rPr>
                <w:rFonts w:hint="eastAsia" w:ascii="方正仿宋_GBK" w:hAnsi="方正仿宋_GBK" w:eastAsia="方正仿宋_GBK" w:cs="方正仿宋_GBK"/>
                <w:lang w:val="en-US" w:eastAsia="zh-CN"/>
              </w:rPr>
              <w:t>过表达）</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次</w:t>
            </w:r>
          </w:p>
        </w:tc>
        <w:tc>
          <w:tcPr>
            <w:tcW w:w="2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包括载体构建、质粒转染、病毒液浓缩、病毒滴度检测和过表达验证；交付结果：提供1个慢病毒，滴度：1×10^8TU/ml，200ul；包含所有耗材，且研究生可以参与工作</w:t>
            </w:r>
          </w:p>
        </w:tc>
        <w:tc>
          <w:tcPr>
            <w:tcW w:w="7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r>
      <w:tr>
        <w:tblPrEx>
          <w:tblCellMar>
            <w:top w:w="0" w:type="dxa"/>
            <w:left w:w="108" w:type="dxa"/>
            <w:bottom w:w="0" w:type="dxa"/>
            <w:right w:w="108" w:type="dxa"/>
          </w:tblCellMar>
        </w:tblPrEx>
        <w:trPr>
          <w:trHeight w:val="1248" w:hRule="atLeast"/>
        </w:trPr>
        <w:tc>
          <w:tcPr>
            <w:tcW w:w="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olor w:val="000000"/>
                <w:kern w:val="0"/>
                <w:sz w:val="22"/>
                <w:lang w:val="en-US" w:eastAsia="zh-CN"/>
              </w:rPr>
            </w:pPr>
            <w:r>
              <w:rPr>
                <w:rFonts w:hint="eastAsia"/>
                <w:color w:val="000000"/>
                <w:kern w:val="0"/>
                <w:sz w:val="22"/>
              </w:rPr>
              <w:t>3</w:t>
            </w:r>
          </w:p>
        </w:tc>
        <w:tc>
          <w:tcPr>
            <w:tcW w:w="11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细胞稳转株筛选（</w:t>
            </w:r>
            <w:r>
              <w:rPr>
                <w:rFonts w:hint="default" w:ascii="方正仿宋_GBK" w:hAnsi="方正仿宋_GBK" w:eastAsia="方正仿宋_GBK" w:cs="方正仿宋_GBK"/>
                <w:lang w:val="en-US" w:eastAsia="zh-CN"/>
              </w:rPr>
              <w:t>YKL-40</w:t>
            </w:r>
            <w:r>
              <w:rPr>
                <w:rFonts w:hint="eastAsia" w:ascii="方正仿宋_GBK" w:hAnsi="方正仿宋_GBK" w:eastAsia="方正仿宋_GBK" w:cs="方正仿宋_GBK"/>
                <w:lang w:val="en-US" w:eastAsia="zh-CN"/>
              </w:rPr>
              <w:t>过表达）</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次</w:t>
            </w:r>
          </w:p>
        </w:tc>
        <w:tc>
          <w:tcPr>
            <w:tcW w:w="2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包括病毒感染、细胞加药筛选（3次）、细胞扩大培养和验证；交付结果：细胞株（冻存细胞两只，密度：1*10^6）；提供纸质版报告、Qpcr+WB报告；包含所有耗材，且研究生可以参与工作</w:t>
            </w:r>
          </w:p>
        </w:tc>
        <w:tc>
          <w:tcPr>
            <w:tcW w:w="7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r>
      <w:tr>
        <w:tblPrEx>
          <w:tblCellMar>
            <w:top w:w="0" w:type="dxa"/>
            <w:left w:w="108" w:type="dxa"/>
            <w:bottom w:w="0" w:type="dxa"/>
            <w:right w:w="108" w:type="dxa"/>
          </w:tblCellMar>
        </w:tblPrEx>
        <w:trPr>
          <w:trHeight w:val="1248" w:hRule="atLeast"/>
        </w:trPr>
        <w:tc>
          <w:tcPr>
            <w:tcW w:w="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olor w:val="000000"/>
                <w:kern w:val="0"/>
                <w:sz w:val="22"/>
                <w:lang w:val="en-US" w:eastAsia="zh-CN"/>
              </w:rPr>
            </w:pPr>
            <w:r>
              <w:rPr>
                <w:rFonts w:hint="eastAsia"/>
                <w:color w:val="000000"/>
                <w:kern w:val="0"/>
                <w:sz w:val="22"/>
              </w:rPr>
              <w:t>4</w:t>
            </w:r>
          </w:p>
        </w:tc>
        <w:tc>
          <w:tcPr>
            <w:tcW w:w="11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慢病毒包装（</w:t>
            </w:r>
            <w:r>
              <w:rPr>
                <w:rFonts w:hint="default" w:ascii="方正仿宋_GBK" w:hAnsi="方正仿宋_GBK" w:eastAsia="方正仿宋_GBK" w:cs="方正仿宋_GBK"/>
                <w:lang w:val="en-US" w:eastAsia="zh-CN"/>
              </w:rPr>
              <w:t>YKL-40</w:t>
            </w:r>
            <w:r>
              <w:rPr>
                <w:rFonts w:hint="eastAsia" w:ascii="方正仿宋_GBK" w:hAnsi="方正仿宋_GBK" w:eastAsia="方正仿宋_GBK" w:cs="方正仿宋_GBK"/>
                <w:lang w:val="en-US" w:eastAsia="zh-CN"/>
              </w:rPr>
              <w:t>敲减）</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次</w:t>
            </w:r>
          </w:p>
        </w:tc>
        <w:tc>
          <w:tcPr>
            <w:tcW w:w="2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包括载体构建、质粒转染、病毒液浓缩和病毒滴度检测验证；交付结果：提供3个慢病毒，滴度：1×10^8TU/ml，200ul；Qpcr+WB报告；包含所有耗材，且研究生可以参与工作</w:t>
            </w:r>
          </w:p>
        </w:tc>
        <w:tc>
          <w:tcPr>
            <w:tcW w:w="7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r>
      <w:tr>
        <w:tblPrEx>
          <w:tblCellMar>
            <w:top w:w="0" w:type="dxa"/>
            <w:left w:w="108" w:type="dxa"/>
            <w:bottom w:w="0" w:type="dxa"/>
            <w:right w:w="108" w:type="dxa"/>
          </w:tblCellMar>
        </w:tblPrEx>
        <w:trPr>
          <w:trHeight w:val="1248" w:hRule="atLeast"/>
        </w:trPr>
        <w:tc>
          <w:tcPr>
            <w:tcW w:w="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olor w:val="000000"/>
                <w:kern w:val="0"/>
                <w:sz w:val="22"/>
                <w:lang w:val="en-US" w:eastAsia="zh-CN"/>
              </w:rPr>
            </w:pPr>
            <w:r>
              <w:rPr>
                <w:rFonts w:hint="eastAsia"/>
                <w:color w:val="000000"/>
                <w:kern w:val="0"/>
                <w:sz w:val="22"/>
              </w:rPr>
              <w:t>5</w:t>
            </w:r>
          </w:p>
        </w:tc>
        <w:tc>
          <w:tcPr>
            <w:tcW w:w="11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细胞稳转株筛选（</w:t>
            </w:r>
            <w:r>
              <w:rPr>
                <w:rFonts w:hint="default" w:ascii="方正仿宋_GBK" w:hAnsi="方正仿宋_GBK" w:eastAsia="方正仿宋_GBK" w:cs="方正仿宋_GBK"/>
                <w:lang w:val="en-US" w:eastAsia="zh-CN"/>
              </w:rPr>
              <w:t>YKL-40</w:t>
            </w:r>
            <w:r>
              <w:rPr>
                <w:rFonts w:hint="eastAsia" w:ascii="方正仿宋_GBK" w:hAnsi="方正仿宋_GBK" w:eastAsia="方正仿宋_GBK" w:cs="方正仿宋_GBK"/>
                <w:lang w:val="en-US" w:eastAsia="zh-CN"/>
              </w:rPr>
              <w:t>敲减）</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次</w:t>
            </w:r>
          </w:p>
        </w:tc>
        <w:tc>
          <w:tcPr>
            <w:tcW w:w="2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包括病毒感染、细胞加药筛选（多次）、细胞扩大培养和验证；交付结果：细胞株（冻存细胞两只，密度：1*10^6）；提供纸质版报告、Qpcr+WB报告；包含所有耗材，且研究生可以参与工作</w:t>
            </w:r>
          </w:p>
        </w:tc>
        <w:tc>
          <w:tcPr>
            <w:tcW w:w="7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r>
      <w:tr>
        <w:tblPrEx>
          <w:tblCellMar>
            <w:top w:w="0" w:type="dxa"/>
            <w:left w:w="108" w:type="dxa"/>
            <w:bottom w:w="0" w:type="dxa"/>
            <w:right w:w="108" w:type="dxa"/>
          </w:tblCellMar>
        </w:tblPrEx>
        <w:trPr>
          <w:trHeight w:val="1248" w:hRule="atLeast"/>
        </w:trPr>
        <w:tc>
          <w:tcPr>
            <w:tcW w:w="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olor w:val="000000"/>
                <w:kern w:val="0"/>
                <w:sz w:val="22"/>
                <w:lang w:val="en-US" w:eastAsia="zh-CN"/>
              </w:rPr>
            </w:pPr>
            <w:r>
              <w:rPr>
                <w:rFonts w:hint="eastAsia"/>
                <w:color w:val="000000"/>
                <w:kern w:val="0"/>
                <w:sz w:val="22"/>
              </w:rPr>
              <w:t>6</w:t>
            </w:r>
          </w:p>
        </w:tc>
        <w:tc>
          <w:tcPr>
            <w:tcW w:w="11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荨麻疹小鼠造模</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1只小鼠/次</w:t>
            </w:r>
          </w:p>
        </w:tc>
        <w:tc>
          <w:tcPr>
            <w:tcW w:w="2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包括balb/c 小鼠购买、小鼠造模、病毒注射（尾静脉注射）、小鼠常规记录、和小鼠饲养；提供造模报告+小鼠标本；取材包含所有耗材，且研究生可以参与工作</w:t>
            </w:r>
          </w:p>
        </w:tc>
        <w:tc>
          <w:tcPr>
            <w:tcW w:w="7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48</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r>
      <w:tr>
        <w:tblPrEx>
          <w:tblCellMar>
            <w:top w:w="0" w:type="dxa"/>
            <w:left w:w="108" w:type="dxa"/>
            <w:bottom w:w="0" w:type="dxa"/>
            <w:right w:w="108" w:type="dxa"/>
          </w:tblCellMar>
        </w:tblPrEx>
        <w:trPr>
          <w:trHeight w:val="1248" w:hRule="atLeast"/>
        </w:trPr>
        <w:tc>
          <w:tcPr>
            <w:tcW w:w="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olor w:val="000000"/>
                <w:kern w:val="0"/>
                <w:sz w:val="22"/>
                <w:lang w:val="en-US" w:eastAsia="zh-CN"/>
              </w:rPr>
            </w:pPr>
            <w:r>
              <w:rPr>
                <w:rFonts w:hint="eastAsia"/>
                <w:color w:val="000000"/>
                <w:kern w:val="0"/>
                <w:sz w:val="22"/>
              </w:rPr>
              <w:t>7</w:t>
            </w:r>
          </w:p>
        </w:tc>
        <w:tc>
          <w:tcPr>
            <w:tcW w:w="11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激光共聚焦拍摄</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次</w:t>
            </w:r>
          </w:p>
        </w:tc>
        <w:tc>
          <w:tcPr>
            <w:tcW w:w="2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包括样本制备、拍摄和分析；激光共聚焦</w:t>
            </w:r>
            <w:r>
              <w:rPr>
                <w:rFonts w:hint="default" w:ascii="方正仿宋_GBK" w:hAnsi="方正仿宋_GBK" w:eastAsia="方正仿宋_GBK" w:cs="方正仿宋_GBK"/>
                <w:lang w:val="en-US" w:eastAsia="zh-CN"/>
              </w:rPr>
              <w:t>检测YKL-40的定位</w:t>
            </w:r>
            <w:r>
              <w:rPr>
                <w:rFonts w:hint="eastAsia" w:ascii="方正仿宋_GBK" w:hAnsi="方正仿宋_GBK" w:eastAsia="方正仿宋_GBK" w:cs="方正仿宋_GBK"/>
                <w:lang w:val="en-US" w:eastAsia="zh-CN"/>
              </w:rPr>
              <w:t>；包含所有耗材，且研究生可以参与工作</w:t>
            </w:r>
          </w:p>
        </w:tc>
        <w:tc>
          <w:tcPr>
            <w:tcW w:w="7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12</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r>
      <w:tr>
        <w:tblPrEx>
          <w:tblCellMar>
            <w:top w:w="0" w:type="dxa"/>
            <w:left w:w="108" w:type="dxa"/>
            <w:bottom w:w="0" w:type="dxa"/>
            <w:right w:w="108" w:type="dxa"/>
          </w:tblCellMar>
        </w:tblPrEx>
        <w:trPr>
          <w:trHeight w:val="1248" w:hRule="atLeast"/>
        </w:trPr>
        <w:tc>
          <w:tcPr>
            <w:tcW w:w="6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color w:val="000000"/>
                <w:kern w:val="0"/>
                <w:sz w:val="22"/>
                <w:lang w:val="en-US" w:eastAsia="zh-CN"/>
              </w:rPr>
            </w:pPr>
            <w:r>
              <w:rPr>
                <w:rFonts w:hint="eastAsia"/>
                <w:color w:val="000000"/>
                <w:kern w:val="0"/>
                <w:sz w:val="22"/>
              </w:rPr>
              <w:t>8</w:t>
            </w:r>
          </w:p>
        </w:tc>
        <w:tc>
          <w:tcPr>
            <w:tcW w:w="11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IHC（荧光单标）</w:t>
            </w:r>
          </w:p>
        </w:tc>
        <w:tc>
          <w:tcPr>
            <w:tcW w:w="85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次</w:t>
            </w:r>
          </w:p>
        </w:tc>
        <w:tc>
          <w:tcPr>
            <w:tcW w:w="27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包括包埋、切片、染色（3个指标）、全景扫描和分析；提供原始数据+分析报告；包含所有耗材，且研究生可以参与工作</w:t>
            </w:r>
          </w:p>
        </w:tc>
        <w:tc>
          <w:tcPr>
            <w:tcW w:w="77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120</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lang w:val="en-US" w:eastAsia="zh-CN"/>
              </w:rPr>
            </w:pPr>
          </w:p>
        </w:tc>
      </w:tr>
      <w:bookmarkEnd w:id="0"/>
      <w:tr>
        <w:tblPrEx>
          <w:tblCellMar>
            <w:top w:w="0" w:type="dxa"/>
            <w:left w:w="108" w:type="dxa"/>
            <w:bottom w:w="0" w:type="dxa"/>
            <w:right w:w="108" w:type="dxa"/>
          </w:tblCellMar>
        </w:tblPrEx>
        <w:trPr>
          <w:trHeight w:val="1248" w:hRule="atLeast"/>
        </w:trPr>
        <w:tc>
          <w:tcPr>
            <w:tcW w:w="4319" w:type="pct"/>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合计（元）</w:t>
            </w: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bl>
    <w:p>
      <w:pPr>
        <w:spacing w:line="480" w:lineRule="auto"/>
        <w:rPr>
          <w:rFonts w:hint="eastAsia" w:ascii="宋体" w:hAnsi="宋体" w:eastAsia="宋体"/>
          <w:sz w:val="28"/>
          <w:szCs w:val="28"/>
        </w:rPr>
      </w:pPr>
    </w:p>
    <w:p>
      <w:pPr>
        <w:spacing w:line="480" w:lineRule="auto"/>
        <w:ind w:firstLine="480"/>
        <w:rPr>
          <w:rFonts w:hint="eastAsia" w:ascii="宋体" w:hAnsi="宋体" w:eastAsia="宋体"/>
          <w:sz w:val="28"/>
          <w:szCs w:val="28"/>
          <w:lang w:eastAsia="zh-CN"/>
        </w:rPr>
      </w:pPr>
      <w:r>
        <w:rPr>
          <w:rFonts w:hint="eastAsia" w:ascii="宋体" w:hAnsi="宋体" w:eastAsia="宋体"/>
          <w:sz w:val="28"/>
          <w:szCs w:val="28"/>
        </w:rPr>
        <w:t>报价单位：</w:t>
      </w:r>
      <w:r>
        <w:rPr>
          <w:rFonts w:hint="eastAsia" w:ascii="宋体" w:hAnsi="宋体" w:eastAsia="宋体"/>
          <w:sz w:val="28"/>
          <w:szCs w:val="28"/>
          <w:lang w:eastAsia="zh-CN"/>
        </w:rPr>
        <w:t>（</w:t>
      </w:r>
      <w:r>
        <w:rPr>
          <w:rFonts w:hint="eastAsia" w:ascii="宋体" w:hAnsi="宋体" w:eastAsia="宋体"/>
          <w:sz w:val="28"/>
          <w:szCs w:val="28"/>
          <w:lang w:val="en-US" w:eastAsia="zh-CN"/>
        </w:rPr>
        <w:t>盖章</w:t>
      </w:r>
      <w:r>
        <w:rPr>
          <w:rFonts w:hint="eastAsia" w:ascii="宋体" w:hAnsi="宋体" w:eastAsia="宋体"/>
          <w:sz w:val="28"/>
          <w:szCs w:val="28"/>
          <w:lang w:eastAsia="zh-CN"/>
        </w:rPr>
        <w:t>）</w:t>
      </w:r>
    </w:p>
    <w:p>
      <w:pPr>
        <w:spacing w:line="480" w:lineRule="auto"/>
        <w:ind w:firstLine="480"/>
      </w:pPr>
      <w:r>
        <w:rPr>
          <w:rFonts w:hint="eastAsia" w:ascii="宋体" w:hAnsi="宋体" w:eastAsia="宋体"/>
          <w:sz w:val="28"/>
          <w:szCs w:val="28"/>
        </w:rPr>
        <w:t>报价时间：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2934724-FD29-411F-8584-5DAAE4CD552D}"/>
  </w:font>
  <w:font w:name="方正小标宋_GBK">
    <w:panose1 w:val="03000509000000000000"/>
    <w:charset w:val="86"/>
    <w:family w:val="auto"/>
    <w:pitch w:val="default"/>
    <w:sig w:usb0="00000001" w:usb1="080E0000" w:usb2="00000000" w:usb3="00000000" w:csb0="00040000" w:csb1="00000000"/>
    <w:embedRegular r:id="rId2" w:fontKey="{7D4B90BD-3988-4EC7-94F6-49C21E996DAC}"/>
  </w:font>
  <w:font w:name="方正仿宋_GBK">
    <w:panose1 w:val="03000509000000000000"/>
    <w:charset w:val="86"/>
    <w:family w:val="script"/>
    <w:pitch w:val="default"/>
    <w:sig w:usb0="00000001" w:usb1="080E0000" w:usb2="00000000" w:usb3="00000000" w:csb0="00040000" w:csb1="00000000"/>
    <w:embedRegular r:id="rId3" w:fontKey="{FB108F52-02FA-486D-A701-E854C887E327}"/>
  </w:font>
  <w:font w:name="方正仿宋_GB2312">
    <w:panose1 w:val="02000000000000000000"/>
    <w:charset w:val="86"/>
    <w:family w:val="auto"/>
    <w:pitch w:val="default"/>
    <w:sig w:usb0="A00002BF" w:usb1="184F6CFA" w:usb2="00000012" w:usb3="00000000" w:csb0="00040001" w:csb1="00000000"/>
    <w:embedRegular r:id="rId4" w:fontKey="{3D40301A-3AE5-4613-B66D-6F177BE495E0}"/>
  </w:font>
  <w:font w:name="等线">
    <w:panose1 w:val="02010600030101010101"/>
    <w:charset w:val="86"/>
    <w:family w:val="auto"/>
    <w:pitch w:val="default"/>
    <w:sig w:usb0="A00002BF" w:usb1="38CF7CFA" w:usb2="00000016" w:usb3="00000000" w:csb0="0004000F" w:csb1="00000000"/>
    <w:embedRegular r:id="rId5" w:fontKey="{15D9D788-725A-4B16-80DD-D15E1BA2E8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A1OGNhNDRlYzhkN2M5ZWNlYmI3ZDZmY2EzZmYifQ=="/>
  </w:docVars>
  <w:rsids>
    <w:rsidRoot w:val="5BFD6593"/>
    <w:rsid w:val="00481283"/>
    <w:rsid w:val="013769CB"/>
    <w:rsid w:val="06EC66E0"/>
    <w:rsid w:val="092C0EC1"/>
    <w:rsid w:val="0D3326FB"/>
    <w:rsid w:val="130848A2"/>
    <w:rsid w:val="131E0AB7"/>
    <w:rsid w:val="1E824F34"/>
    <w:rsid w:val="233E0D32"/>
    <w:rsid w:val="26137398"/>
    <w:rsid w:val="2D047A30"/>
    <w:rsid w:val="2FC1125D"/>
    <w:rsid w:val="31FE5396"/>
    <w:rsid w:val="382F4DB5"/>
    <w:rsid w:val="393D7D07"/>
    <w:rsid w:val="3A5F0287"/>
    <w:rsid w:val="3F2946A4"/>
    <w:rsid w:val="41B31CF9"/>
    <w:rsid w:val="4820176A"/>
    <w:rsid w:val="4B7643C9"/>
    <w:rsid w:val="51AF7D8A"/>
    <w:rsid w:val="57752602"/>
    <w:rsid w:val="597876B5"/>
    <w:rsid w:val="59BC46C1"/>
    <w:rsid w:val="5BFD6593"/>
    <w:rsid w:val="5DBD6FCC"/>
    <w:rsid w:val="60932FCA"/>
    <w:rsid w:val="63741FD3"/>
    <w:rsid w:val="65404DA2"/>
    <w:rsid w:val="6D322D17"/>
    <w:rsid w:val="71183FF5"/>
    <w:rsid w:val="71E8252F"/>
    <w:rsid w:val="7557416E"/>
    <w:rsid w:val="7841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 w:type="paragraph" w:styleId="6">
    <w:name w:val="List Paragraph"/>
    <w:basedOn w:val="1"/>
    <w:autoRedefine/>
    <w:unhideWhenUsed/>
    <w:qFormat/>
    <w:uiPriority w:val="99"/>
    <w:pPr>
      <w:ind w:firstLine="420" w:firstLineChars="200"/>
    </w:pPr>
  </w:style>
  <w:style w:type="character" w:customStyle="1" w:styleId="7">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2023-10-31T08:50:00Z</dcterms:created>
  <dc:creator>林林</dc:creator>
  <cp:lastModifiedBy>林林</cp:lastModifiedBy>
  <dcterms:modified xsi:type="dcterms:W3CDTF">2024-03-29T09:40:15Z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6D311993E5934256958E376EF9FF9FED_11</vt:lpwstr>
  </property>
</Properties>
</file>