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报价函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成都市第二人民医院：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w:t>
      </w:r>
      <w:r>
        <w:rPr>
          <w:rFonts w:hint="eastAsia" w:ascii="方正仿宋_GB2312" w:hAnsi="方正仿宋_GB2312" w:eastAsia="方正仿宋_GB2312" w:cs="方正仿宋_GB2312"/>
          <w:sz w:val="32"/>
          <w:szCs w:val="32"/>
          <w:highlight w:val="none"/>
        </w:rPr>
        <w:t>成都市第二人民医院《基于宏基因组测序技术分析不同表型玫瑰痤疮患者皮肤微生态特征及潜在生物标记物的研究》课题</w:t>
      </w:r>
      <w:r>
        <w:rPr>
          <w:rFonts w:hint="eastAsia" w:ascii="方正仿宋_GB2312" w:hAnsi="方正仿宋_GB2312" w:eastAsia="方正仿宋_GB2312" w:cs="方正仿宋_GB2312"/>
          <w:sz w:val="32"/>
          <w:szCs w:val="32"/>
          <w:highlight w:val="none"/>
          <w:lang w:val="en-US" w:eastAsia="zh-CN"/>
        </w:rPr>
        <w:t>检测服务</w:t>
      </w:r>
      <w:r>
        <w:rPr>
          <w:rFonts w:hint="eastAsia" w:ascii="方正仿宋_GB2312" w:hAnsi="方正仿宋_GB2312" w:eastAsia="方正仿宋_GB2312" w:cs="方正仿宋_GB2312"/>
          <w:sz w:val="32"/>
          <w:szCs w:val="32"/>
          <w:highlight w:val="none"/>
        </w:rPr>
        <w:t>采购项目</w:t>
      </w:r>
      <w:r>
        <w:rPr>
          <w:rFonts w:hint="eastAsia" w:ascii="方正仿宋_GBK" w:hAnsi="方正仿宋_GBK" w:eastAsia="方正仿宋_GBK" w:cs="方正仿宋_GBK"/>
          <w:color w:val="000000"/>
          <w:sz w:val="32"/>
          <w:szCs w:val="32"/>
          <w:lang w:val="en-US" w:eastAsia="zh-CN"/>
        </w:rPr>
        <w:t>需求，我公司仔细研究，具体报价如下：</w:t>
      </w:r>
    </w:p>
    <w:p>
      <w:pPr>
        <w:spacing w:line="480" w:lineRule="auto"/>
        <w:rPr>
          <w:rFonts w:hint="eastAsia" w:ascii="宋体" w:hAnsi="宋体" w:eastAsia="宋体"/>
          <w:sz w:val="28"/>
          <w:szCs w:val="28"/>
        </w:rPr>
      </w:pPr>
    </w:p>
    <w:tbl>
      <w:tblPr>
        <w:tblStyle w:val="3"/>
        <w:tblW w:w="5000" w:type="pct"/>
        <w:tblInd w:w="0" w:type="dxa"/>
        <w:tblLayout w:type="fixed"/>
        <w:tblCellMar>
          <w:top w:w="0" w:type="dxa"/>
          <w:left w:w="108" w:type="dxa"/>
          <w:bottom w:w="0" w:type="dxa"/>
          <w:right w:w="108" w:type="dxa"/>
        </w:tblCellMar>
      </w:tblPr>
      <w:tblGrid>
        <w:gridCol w:w="693"/>
        <w:gridCol w:w="1125"/>
        <w:gridCol w:w="850"/>
        <w:gridCol w:w="2725"/>
        <w:gridCol w:w="770"/>
        <w:gridCol w:w="1200"/>
        <w:gridCol w:w="1159"/>
      </w:tblGrid>
      <w:tr>
        <w:tblPrEx>
          <w:tblCellMar>
            <w:top w:w="0" w:type="dxa"/>
            <w:left w:w="108" w:type="dxa"/>
            <w:bottom w:w="0" w:type="dxa"/>
            <w:right w:w="108" w:type="dxa"/>
          </w:tblCellMar>
        </w:tblPrEx>
        <w:trPr>
          <w:trHeight w:val="659" w:hRule="exact"/>
        </w:trPr>
        <w:tc>
          <w:tcPr>
            <w:tcW w:w="40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序号</w:t>
            </w:r>
          </w:p>
        </w:tc>
        <w:tc>
          <w:tcPr>
            <w:tcW w:w="660"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名称</w:t>
            </w:r>
          </w:p>
        </w:tc>
        <w:tc>
          <w:tcPr>
            <w:tcW w:w="498"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规格</w:t>
            </w:r>
          </w:p>
        </w:tc>
        <w:tc>
          <w:tcPr>
            <w:tcW w:w="1598" w:type="pct"/>
            <w:tcBorders>
              <w:top w:val="single" w:color="auto" w:sz="4" w:space="0"/>
              <w:left w:val="nil"/>
              <w:bottom w:val="single" w:color="auto" w:sz="4" w:space="0"/>
              <w:right w:val="single" w:color="auto" w:sz="4" w:space="0"/>
            </w:tcBorders>
            <w:noWrap/>
            <w:vAlign w:val="center"/>
          </w:tcPr>
          <w:p>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参数</w:t>
            </w: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hint="eastAsia" w:asciiTheme="minorHAnsi" w:hAnsiTheme="minorHAnsi" w:eastAsiaTheme="minorEastAsia" w:cstheme="minorBidi"/>
                <w:color w:val="000000"/>
                <w:kern w:val="0"/>
                <w:sz w:val="22"/>
                <w:szCs w:val="24"/>
                <w:lang w:val="en-US" w:eastAsia="zh-CN" w:bidi="ar-SA"/>
              </w:rPr>
            </w:pPr>
            <w:r>
              <w:rPr>
                <w:color w:val="000000"/>
                <w:kern w:val="0"/>
                <w:sz w:val="22"/>
              </w:rPr>
              <w:t>预估</w:t>
            </w:r>
            <w:r>
              <w:rPr>
                <w:rFonts w:hint="eastAsia"/>
                <w:color w:val="000000"/>
                <w:kern w:val="0"/>
                <w:sz w:val="22"/>
              </w:rPr>
              <w:t>数</w:t>
            </w:r>
            <w:r>
              <w:rPr>
                <w:color w:val="000000"/>
                <w:kern w:val="0"/>
                <w:sz w:val="22"/>
              </w:rPr>
              <w:t>量</w:t>
            </w:r>
          </w:p>
        </w:tc>
        <w:tc>
          <w:tcPr>
            <w:tcW w:w="704" w:type="pct"/>
            <w:tcBorders>
              <w:top w:val="single" w:color="auto" w:sz="4" w:space="0"/>
              <w:left w:val="nil"/>
              <w:bottom w:val="single" w:color="auto" w:sz="4" w:space="0"/>
              <w:right w:val="single" w:color="auto" w:sz="4" w:space="0"/>
            </w:tcBorders>
            <w:noWrap/>
            <w:vAlign w:val="center"/>
          </w:tcPr>
          <w:p>
            <w:pPr>
              <w:widowControl/>
              <w:jc w:val="center"/>
              <w:rPr>
                <w:rFonts w:hint="eastAsia"/>
                <w:color w:val="000000"/>
                <w:kern w:val="0"/>
                <w:sz w:val="21"/>
                <w:szCs w:val="21"/>
                <w:lang w:val="en-US" w:eastAsia="zh-CN"/>
              </w:rPr>
            </w:pPr>
            <w:r>
              <w:rPr>
                <w:rFonts w:hint="eastAsia"/>
                <w:color w:val="000000"/>
                <w:kern w:val="0"/>
                <w:sz w:val="22"/>
                <w:lang w:val="en-US" w:eastAsia="zh-CN"/>
              </w:rPr>
              <w:t>单价（元）</w:t>
            </w:r>
          </w:p>
        </w:tc>
        <w:tc>
          <w:tcPr>
            <w:tcW w:w="680" w:type="pct"/>
            <w:tcBorders>
              <w:top w:val="single" w:color="auto" w:sz="4" w:space="0"/>
              <w:left w:val="nil"/>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lang w:val="en-US" w:eastAsia="zh-CN"/>
              </w:rPr>
              <w:t>总价（元）</w:t>
            </w:r>
          </w:p>
        </w:tc>
      </w:tr>
      <w:tr>
        <w:tblPrEx>
          <w:tblCellMar>
            <w:top w:w="0" w:type="dxa"/>
            <w:left w:w="108" w:type="dxa"/>
            <w:bottom w:w="0" w:type="dxa"/>
            <w:right w:w="108" w:type="dxa"/>
          </w:tblCellMar>
        </w:tblPrEx>
        <w:trPr>
          <w:trHeight w:val="7440" w:hRule="exact"/>
        </w:trPr>
        <w:tc>
          <w:tcPr>
            <w:tcW w:w="4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bookmarkStart w:id="0" w:name="OLE_LINK1" w:colFirst="1" w:colLast="1"/>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660"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color w:val="000000"/>
                <w:kern w:val="0"/>
                <w:sz w:val="22"/>
              </w:rPr>
              <w:t>小鼠饲养及造模</w:t>
            </w:r>
          </w:p>
        </w:tc>
        <w:tc>
          <w:tcPr>
            <w:tcW w:w="498"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lang w:val="en-US" w:eastAsia="zh-CN"/>
              </w:rPr>
              <w:t>1只小鼠/项</w:t>
            </w:r>
          </w:p>
        </w:tc>
        <w:tc>
          <w:tcPr>
            <w:tcW w:w="159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color w:val="000000"/>
                <w:kern w:val="0"/>
                <w:szCs w:val="21"/>
                <w:lang w:val="en-US" w:eastAsia="zh-CN"/>
              </w:rPr>
            </w:pPr>
            <w:r>
              <w:rPr>
                <w:rFonts w:hint="eastAsia" w:ascii="方正仿宋_GBK" w:hAnsi="方正仿宋_GBK" w:eastAsia="方正仿宋_GBK" w:cs="方正仿宋_GBK"/>
                <w:color w:val="000000"/>
                <w:kern w:val="0"/>
                <w:szCs w:val="21"/>
                <w:lang w:val="en-US" w:eastAsia="zh-CN"/>
              </w:rPr>
              <w:t>1、选用7-8 周大小的 BALB/C 实验小鼠；将小鼠随机分为三组：①组阴性对照组②玫瑰痤疮模型组③LL37+Botox组；造模时间一周；</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color w:val="000000"/>
                <w:kern w:val="0"/>
                <w:szCs w:val="21"/>
                <w:lang w:val="en-US" w:eastAsia="zh-CN"/>
              </w:rPr>
            </w:pPr>
            <w:r>
              <w:rPr>
                <w:rFonts w:hint="eastAsia" w:ascii="方正仿宋_GBK" w:hAnsi="方正仿宋_GBK" w:eastAsia="方正仿宋_GBK" w:cs="方正仿宋_GBK"/>
                <w:color w:val="000000"/>
                <w:kern w:val="0"/>
                <w:szCs w:val="21"/>
                <w:lang w:val="en-US" w:eastAsia="zh-CN"/>
              </w:rPr>
              <w:t>2、适应2-3天开始造模，小鼠背部皮肤剃毛，24 小时后开始注射试验。其中①给予 PBS 注射；②皮内注射 50μl 320μM 抗菌肽 LL-37，每天 2次，连续2天； ③提前 Botox 预处理，间隔皮内注射 Botox，0.5U /点，间隔 0.5cm，12h 后再行皮内注射 50μl 320μM 抗菌肽 LL-37，每天 2次，连续2天。</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lang w:val="en-US" w:eastAsia="zh-CN"/>
              </w:rPr>
              <w:t>3、造模成功后对临床病变皮肤拍照，需提供 BALB/C 实验小鼠、小鼠SPF级别寄养条件、小鼠饮食、实验所需的试剂耗材、皮内注射操作及实验拍照。</w:t>
            </w:r>
          </w:p>
        </w:tc>
        <w:tc>
          <w:tcPr>
            <w:tcW w:w="7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color w:val="000000"/>
                <w:kern w:val="0"/>
                <w:sz w:val="22"/>
                <w:lang w:val="en-US"/>
              </w:rPr>
              <w:t>90</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576" w:hRule="exact"/>
        </w:trPr>
        <w:tc>
          <w:tcPr>
            <w:tcW w:w="4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660"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color w:val="000000"/>
                <w:kern w:val="0"/>
                <w:sz w:val="22"/>
              </w:rPr>
              <w:t>小鼠解剖取材及无害化处理</w:t>
            </w:r>
          </w:p>
        </w:tc>
        <w:tc>
          <w:tcPr>
            <w:tcW w:w="498"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lang w:val="en-US" w:eastAsia="zh-CN"/>
              </w:rPr>
              <w:t>1只小鼠/项</w:t>
            </w:r>
            <w:bookmarkStart w:id="1" w:name="_GoBack"/>
            <w:bookmarkEnd w:id="1"/>
          </w:p>
        </w:tc>
        <w:tc>
          <w:tcPr>
            <w:tcW w:w="159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color w:val="000000"/>
                <w:kern w:val="0"/>
                <w:szCs w:val="21"/>
                <w:lang w:val="en-US" w:eastAsia="zh-CN"/>
              </w:rPr>
            </w:pPr>
            <w:r>
              <w:rPr>
                <w:rFonts w:hint="eastAsia" w:ascii="方正仿宋_GBK" w:hAnsi="方正仿宋_GBK" w:eastAsia="方正仿宋_GBK" w:cs="方正仿宋_GBK"/>
                <w:color w:val="000000"/>
                <w:kern w:val="0"/>
                <w:szCs w:val="21"/>
                <w:lang w:val="en-US" w:eastAsia="zh-CN"/>
              </w:rPr>
              <w:t>4、对小鼠进行颈椎脱臼处理后留取背部皮损组织，共分三部分：一部分进行石蜡包埋，一部分 OTC 包埋剂处理，准备进行HE染色、甲苯胺蓝染色、ICH 及免疫荧光染色分析，最后一部分组织保存至液氮或-80摄氏度条件下，用于mRNA或蛋白提取；</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lang w:val="en-US" w:eastAsia="zh-CN"/>
              </w:rPr>
              <w:t>5、所有标本需按实验要求保存并运送至指定地点。</w:t>
            </w:r>
          </w:p>
        </w:tc>
        <w:tc>
          <w:tcPr>
            <w:tcW w:w="7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color w:val="000000"/>
                <w:kern w:val="0"/>
                <w:sz w:val="22"/>
              </w:rPr>
              <w:t>90</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bookmarkEnd w:id="0"/>
      <w:tr>
        <w:tblPrEx>
          <w:tblCellMar>
            <w:top w:w="0" w:type="dxa"/>
            <w:left w:w="108" w:type="dxa"/>
            <w:bottom w:w="0" w:type="dxa"/>
            <w:right w:w="108" w:type="dxa"/>
          </w:tblCellMar>
        </w:tblPrEx>
        <w:trPr>
          <w:trHeight w:val="848" w:hRule="exact"/>
        </w:trPr>
        <w:tc>
          <w:tcPr>
            <w:tcW w:w="4319" w:type="pct"/>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合计（元）</w:t>
            </w: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bl>
    <w:p>
      <w:pPr>
        <w:spacing w:line="480" w:lineRule="auto"/>
        <w:rPr>
          <w:rFonts w:hint="eastAsia" w:ascii="宋体" w:hAnsi="宋体" w:eastAsia="宋体"/>
          <w:sz w:val="28"/>
          <w:szCs w:val="28"/>
        </w:rPr>
      </w:pPr>
    </w:p>
    <w:p>
      <w:pPr>
        <w:spacing w:line="480" w:lineRule="auto"/>
        <w:ind w:firstLine="480"/>
        <w:rPr>
          <w:rFonts w:hint="eastAsia" w:ascii="宋体" w:hAnsi="宋体" w:eastAsia="宋体"/>
          <w:sz w:val="28"/>
          <w:szCs w:val="28"/>
          <w:lang w:eastAsia="zh-CN"/>
        </w:rPr>
      </w:pPr>
      <w:r>
        <w:rPr>
          <w:rFonts w:hint="eastAsia" w:ascii="宋体" w:hAnsi="宋体" w:eastAsia="宋体"/>
          <w:sz w:val="28"/>
          <w:szCs w:val="28"/>
        </w:rPr>
        <w:t>报价单位：</w:t>
      </w:r>
      <w:r>
        <w:rPr>
          <w:rFonts w:hint="eastAsia" w:ascii="宋体" w:hAnsi="宋体" w:eastAsia="宋体"/>
          <w:sz w:val="28"/>
          <w:szCs w:val="28"/>
          <w:lang w:eastAsia="zh-CN"/>
        </w:rPr>
        <w:t>（</w:t>
      </w:r>
      <w:r>
        <w:rPr>
          <w:rFonts w:hint="eastAsia" w:ascii="宋体" w:hAnsi="宋体" w:eastAsia="宋体"/>
          <w:sz w:val="28"/>
          <w:szCs w:val="28"/>
          <w:lang w:val="en-US" w:eastAsia="zh-CN"/>
        </w:rPr>
        <w:t>盖章</w:t>
      </w:r>
      <w:r>
        <w:rPr>
          <w:rFonts w:hint="eastAsia" w:ascii="宋体" w:hAnsi="宋体" w:eastAsia="宋体"/>
          <w:sz w:val="28"/>
          <w:szCs w:val="28"/>
          <w:lang w:eastAsia="zh-CN"/>
        </w:rPr>
        <w:t>）</w:t>
      </w:r>
    </w:p>
    <w:p>
      <w:pPr>
        <w:spacing w:line="480" w:lineRule="auto"/>
        <w:ind w:firstLine="480"/>
      </w:pPr>
      <w:r>
        <w:rPr>
          <w:rFonts w:hint="eastAsia" w:ascii="宋体" w:hAnsi="宋体" w:eastAsia="宋体"/>
          <w:sz w:val="28"/>
          <w:szCs w:val="28"/>
        </w:rPr>
        <w:t>报价时间：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10A1E74-ABCA-4EB9-B371-FD8F7620CC94}"/>
  </w:font>
  <w:font w:name="方正小标宋_GBK">
    <w:panose1 w:val="03000509000000000000"/>
    <w:charset w:val="86"/>
    <w:family w:val="auto"/>
    <w:pitch w:val="default"/>
    <w:sig w:usb0="00000001" w:usb1="080E0000" w:usb2="00000000" w:usb3="00000000" w:csb0="00040000" w:csb1="00000000"/>
    <w:embedRegular r:id="rId2" w:fontKey="{82A63A43-8002-4031-B5B3-DC091DA8A3CD}"/>
  </w:font>
  <w:font w:name="方正仿宋_GBK">
    <w:panose1 w:val="03000509000000000000"/>
    <w:charset w:val="86"/>
    <w:family w:val="script"/>
    <w:pitch w:val="default"/>
    <w:sig w:usb0="00000001" w:usb1="080E0000" w:usb2="00000000" w:usb3="00000000" w:csb0="00040000" w:csb1="00000000"/>
    <w:embedRegular r:id="rId3" w:fontKey="{DCDBFD02-A966-4875-ADE4-3F351259B8F9}"/>
  </w:font>
  <w:font w:name="方正仿宋_GB2312">
    <w:panose1 w:val="02000000000000000000"/>
    <w:charset w:val="86"/>
    <w:family w:val="auto"/>
    <w:pitch w:val="default"/>
    <w:sig w:usb0="A00002BF" w:usb1="184F6CFA" w:usb2="00000012" w:usb3="00000000" w:csb0="00040001" w:csb1="00000000"/>
    <w:embedRegular r:id="rId4" w:fontKey="{1D6F88DA-6AF3-4AB4-A116-95EF007E9D66}"/>
  </w:font>
  <w:font w:name="等线">
    <w:panose1 w:val="02010600030101010101"/>
    <w:charset w:val="86"/>
    <w:family w:val="auto"/>
    <w:pitch w:val="default"/>
    <w:sig w:usb0="A00002BF" w:usb1="38CF7CFA" w:usb2="00000016" w:usb3="00000000" w:csb0="0004000F" w:csb1="00000000"/>
    <w:embedRegular r:id="rId5" w:fontKey="{DDC4E898-E6F4-4E5A-83F3-127260A8D6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OTY0ZjZmOWE0ZTNkMzE5ZjQzZjhlZjIyNDc3N2EifQ=="/>
  </w:docVars>
  <w:rsids>
    <w:rsidRoot w:val="5BFD6593"/>
    <w:rsid w:val="00481283"/>
    <w:rsid w:val="013769CB"/>
    <w:rsid w:val="092C0EC1"/>
    <w:rsid w:val="0D3326FB"/>
    <w:rsid w:val="130848A2"/>
    <w:rsid w:val="131E0AB7"/>
    <w:rsid w:val="1E824F34"/>
    <w:rsid w:val="233E0D32"/>
    <w:rsid w:val="26137398"/>
    <w:rsid w:val="2D047A30"/>
    <w:rsid w:val="2FC1125D"/>
    <w:rsid w:val="31FE5396"/>
    <w:rsid w:val="382F4DB5"/>
    <w:rsid w:val="393D7D07"/>
    <w:rsid w:val="3A5F0287"/>
    <w:rsid w:val="3F2946A4"/>
    <w:rsid w:val="41B31CF9"/>
    <w:rsid w:val="4820176A"/>
    <w:rsid w:val="4B7643C9"/>
    <w:rsid w:val="51AF7D8A"/>
    <w:rsid w:val="57752602"/>
    <w:rsid w:val="597876B5"/>
    <w:rsid w:val="59BC46C1"/>
    <w:rsid w:val="5BFD6593"/>
    <w:rsid w:val="5DBD6FCC"/>
    <w:rsid w:val="60932FCA"/>
    <w:rsid w:val="63741FD3"/>
    <w:rsid w:val="65404DA2"/>
    <w:rsid w:val="6D322D17"/>
    <w:rsid w:val="71183FF5"/>
    <w:rsid w:val="7557416E"/>
    <w:rsid w:val="784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 w:type="paragraph" w:styleId="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2023-10-31T08:50:00Z</dcterms:created>
  <dc:creator>林林</dc:creator>
  <cp:lastModifiedBy>林林</cp:lastModifiedBy>
  <dcterms:modified xsi:type="dcterms:W3CDTF">2024-03-26T08:18:14Z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6D311993E5934256958E376EF9FF9FED_11</vt:lpwstr>
  </property>
</Properties>
</file>