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成都市第二人民医院《基于宏基因组测序技术分析不同表型玫瑰痤疮患者皮肤微生态特征及潜在生物标记物的研究》课题</w:t>
      </w:r>
      <w:r>
        <w:rPr>
          <w:rFonts w:hint="eastAsia" w:ascii="方正仿宋_GB2312" w:hAnsi="方正仿宋_GB2312" w:eastAsia="方正仿宋_GB2312" w:cs="方正仿宋_GB2312"/>
          <w:sz w:val="32"/>
          <w:szCs w:val="32"/>
          <w:highlight w:val="none"/>
          <w:lang w:val="en-US" w:eastAsia="zh-CN"/>
        </w:rPr>
        <w:t>试剂耗材</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480" w:lineRule="auto"/>
        <w:rPr>
          <w:rFonts w:hint="eastAsia" w:ascii="宋体" w:hAnsi="宋体" w:eastAsia="宋体"/>
          <w:sz w:val="28"/>
          <w:szCs w:val="28"/>
        </w:rPr>
      </w:pPr>
    </w:p>
    <w:tbl>
      <w:tblPr>
        <w:tblStyle w:val="3"/>
        <w:tblW w:w="5000" w:type="pct"/>
        <w:tblInd w:w="0" w:type="dxa"/>
        <w:tblLayout w:type="fixed"/>
        <w:tblCellMar>
          <w:top w:w="0" w:type="dxa"/>
          <w:left w:w="108" w:type="dxa"/>
          <w:bottom w:w="0" w:type="dxa"/>
          <w:right w:w="108" w:type="dxa"/>
        </w:tblCellMar>
      </w:tblPr>
      <w:tblGrid>
        <w:gridCol w:w="681"/>
        <w:gridCol w:w="1746"/>
        <w:gridCol w:w="1118"/>
        <w:gridCol w:w="1963"/>
        <w:gridCol w:w="1214"/>
        <w:gridCol w:w="1800"/>
      </w:tblGrid>
      <w:tr>
        <w:tblPrEx>
          <w:tblCellMar>
            <w:top w:w="0" w:type="dxa"/>
            <w:left w:w="108" w:type="dxa"/>
            <w:bottom w:w="0" w:type="dxa"/>
            <w:right w:w="108" w:type="dxa"/>
          </w:tblCellMar>
        </w:tblPrEx>
        <w:trPr>
          <w:trHeight w:val="56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序号</w:t>
            </w:r>
          </w:p>
        </w:tc>
        <w:tc>
          <w:tcPr>
            <w:tcW w:w="1024"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名称</w:t>
            </w:r>
          </w:p>
        </w:tc>
        <w:tc>
          <w:tcPr>
            <w:tcW w:w="655"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规格</w:t>
            </w:r>
          </w:p>
        </w:tc>
        <w:tc>
          <w:tcPr>
            <w:tcW w:w="1151"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参数</w:t>
            </w:r>
          </w:p>
        </w:tc>
        <w:tc>
          <w:tcPr>
            <w:tcW w:w="712" w:type="pct"/>
            <w:tcBorders>
              <w:top w:val="single" w:color="auto" w:sz="4" w:space="0"/>
              <w:left w:val="nil"/>
              <w:bottom w:val="single" w:color="auto" w:sz="4" w:space="0"/>
              <w:right w:val="single" w:color="auto" w:sz="4" w:space="0"/>
            </w:tcBorders>
            <w:noWrap/>
            <w:vAlign w:val="center"/>
          </w:tcPr>
          <w:p>
            <w:pPr>
              <w:widowControl/>
              <w:jc w:val="center"/>
              <w:rPr>
                <w:rFonts w:hint="eastAsia" w:asciiTheme="minorHAnsi" w:hAnsiTheme="minorHAnsi" w:eastAsiaTheme="minorEastAsia" w:cstheme="minorBidi"/>
                <w:color w:val="000000"/>
                <w:kern w:val="0"/>
                <w:sz w:val="22"/>
                <w:szCs w:val="24"/>
                <w:lang w:val="en-US" w:eastAsia="zh-CN" w:bidi="ar-SA"/>
              </w:rPr>
            </w:pPr>
            <w:r>
              <w:rPr>
                <w:color w:val="000000"/>
                <w:kern w:val="0"/>
                <w:sz w:val="22"/>
              </w:rPr>
              <w:t>预估</w:t>
            </w:r>
            <w:r>
              <w:rPr>
                <w:rFonts w:hint="eastAsia"/>
                <w:color w:val="000000"/>
                <w:kern w:val="0"/>
                <w:sz w:val="22"/>
              </w:rPr>
              <w:t>数</w:t>
            </w:r>
            <w:r>
              <w:rPr>
                <w:color w:val="000000"/>
                <w:kern w:val="0"/>
                <w:sz w:val="22"/>
              </w:rPr>
              <w:t>量</w:t>
            </w:r>
          </w:p>
        </w:tc>
        <w:tc>
          <w:tcPr>
            <w:tcW w:w="1056"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1"/>
                <w:szCs w:val="21"/>
                <w:lang w:val="en-US" w:eastAsia="zh-CN"/>
              </w:rPr>
            </w:pPr>
            <w:r>
              <w:rPr>
                <w:rFonts w:hint="eastAsia"/>
                <w:color w:val="000000"/>
                <w:kern w:val="0"/>
                <w:sz w:val="22"/>
                <w:lang w:val="en-US" w:eastAsia="zh-CN"/>
              </w:rPr>
              <w:t>报价（元）</w:t>
            </w:r>
          </w:p>
        </w:tc>
      </w:tr>
      <w:tr>
        <w:tblPrEx>
          <w:tblCellMar>
            <w:top w:w="0" w:type="dxa"/>
            <w:left w:w="108" w:type="dxa"/>
            <w:bottom w:w="0" w:type="dxa"/>
            <w:right w:w="108" w:type="dxa"/>
          </w:tblCellMar>
        </w:tblPrEx>
        <w:trPr>
          <w:trHeight w:val="672"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吐温-20（Tween-20）</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lang w:val="en-US" w:eastAsia="zh-CN"/>
              </w:rPr>
              <w:t>500ml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用于保存样本</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1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2"/>
                <w:szCs w:val="22"/>
                <w:u w:val="none"/>
                <w:lang w:val="en-US" w:eastAsia="zh-CN" w:bidi="ar"/>
              </w:rPr>
            </w:pPr>
            <w:r>
              <w:rPr>
                <w:rFonts w:hint="default"/>
                <w:lang w:val="en-US" w:eastAsia="zh-CN"/>
              </w:rPr>
              <w:t>0.5ml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5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default"/>
                <w:lang w:val="en-US" w:eastAsia="zh-CN"/>
              </w:rPr>
              <w:t>1.5ml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5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4</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冻存管</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无菌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200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2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5</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ph矫正缓冲液（ph=4）</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250ml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default" w:eastAsia="等线" w:cs="Calibri"/>
                <w:i w:val="0"/>
                <w:iCs w:val="0"/>
                <w:color w:val="000000"/>
                <w:kern w:val="0"/>
                <w:sz w:val="21"/>
                <w:szCs w:val="21"/>
                <w:u w:val="none"/>
                <w:lang w:val="en-US" w:eastAsia="zh-CN" w:bidi="ar"/>
              </w:rPr>
              <w:t>缓冲液 pH 4.00</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5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6</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ph矫正缓冲液（ph=7）</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250ml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缓冲液pH 7.00</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6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7</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default"/>
                <w:lang w:val="en-US" w:eastAsia="zh-CN"/>
              </w:rPr>
              <w:t>BALB/C 实验鼠</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只</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1"/>
                <w:szCs w:val="21"/>
                <w:u w:val="none"/>
                <w:lang w:val="en-US" w:eastAsia="zh-CN" w:bidi="ar"/>
              </w:rPr>
            </w:pPr>
            <w:r>
              <w:rPr>
                <w:rFonts w:hint="eastAsia"/>
                <w:sz w:val="21"/>
                <w:szCs w:val="21"/>
                <w:lang w:val="en-US" w:eastAsia="zh-CN"/>
              </w:rPr>
              <w:t>7-8周 雌性小鼠</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lang w:val="en-US" w:eastAsia="zh-CN"/>
              </w:rPr>
              <w:t>30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8</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人源抗菌肽LL 37;Antimicrobial Peptide,human</w:t>
            </w:r>
          </w:p>
          <w:p>
            <w:pPr>
              <w:keepNext w:val="0"/>
              <w:keepLines w:val="0"/>
              <w:widowControl/>
              <w:suppressLineNumbers w:val="0"/>
              <w:jc w:val="both"/>
              <w:textAlignment w:val="center"/>
              <w:rPr>
                <w:rFonts w:hint="default"/>
                <w:lang w:val="en-US" w:eastAsia="zh-CN"/>
              </w:rPr>
            </w:pPr>
            <w:bookmarkStart w:id="0" w:name="_GoBack"/>
            <w:bookmarkEnd w:id="0"/>
          </w:p>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1mg</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可配成浓度320μM，用于玫瑰痤疮小鼠建模</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3</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0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9</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default"/>
                <w:lang w:val="en-US" w:eastAsia="zh-CN"/>
              </w:rPr>
              <w:t>小鼠MRGPRB2</w:t>
            </w:r>
            <w:r>
              <w:rPr>
                <w:rFonts w:hint="eastAsia"/>
                <w:lang w:val="en-US" w:eastAsia="zh-CN"/>
              </w:rPr>
              <w:t>抗体</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sz w:val="21"/>
                <w:szCs w:val="21"/>
                <w:lang w:val="en-US" w:eastAsia="zh-CN"/>
              </w:rPr>
              <w:t>单克隆抗体，可用于小鼠标本做WB/I</w:t>
            </w:r>
            <w:r>
              <w:rPr>
                <w:rFonts w:hint="eastAsia" w:eastAsia="等线" w:cs="Calibri"/>
                <w:i w:val="0"/>
                <w:iCs w:val="0"/>
                <w:color w:val="000000"/>
                <w:kern w:val="0"/>
                <w:sz w:val="21"/>
                <w:szCs w:val="21"/>
                <w:u w:val="none"/>
                <w:lang w:val="en-US" w:eastAsia="zh-CN" w:bidi="ar"/>
              </w:rPr>
              <w:t>F</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12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10</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default"/>
                <w:lang w:val="en-US" w:eastAsia="zh-CN"/>
              </w:rPr>
              <w:t>MRGPRX2 Polyclonal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sz w:val="21"/>
                <w:szCs w:val="21"/>
                <w:lang w:val="en-US" w:eastAsia="zh-CN"/>
              </w:rPr>
              <w:t>单克隆抗体，可用于人标本做WB/I</w:t>
            </w:r>
            <w:r>
              <w:rPr>
                <w:rFonts w:hint="eastAsia" w:eastAsia="等线" w:cs="Calibri"/>
                <w:i w:val="0"/>
                <w:iCs w:val="0"/>
                <w:color w:val="000000"/>
                <w:kern w:val="0"/>
                <w:sz w:val="21"/>
                <w:szCs w:val="21"/>
                <w:u w:val="none"/>
                <w:lang w:val="en-US" w:eastAsia="zh-CN" w:bidi="ar"/>
              </w:rPr>
              <w:t>F/IHC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86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11</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default"/>
                <w:lang w:val="en-US" w:eastAsia="zh-CN"/>
              </w:rPr>
              <w:t>VEGFA Polyclonal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sz w:val="21"/>
                <w:szCs w:val="21"/>
                <w:lang w:val="en-US" w:eastAsia="zh-CN"/>
              </w:rPr>
              <w:t>单克隆抗体，可用于小鼠标本做WB/</w:t>
            </w:r>
            <w:r>
              <w:rPr>
                <w:rFonts w:hint="eastAsia" w:eastAsia="等线" w:cs="Calibri"/>
                <w:i w:val="0"/>
                <w:iCs w:val="0"/>
                <w:color w:val="000000"/>
                <w:kern w:val="0"/>
                <w:sz w:val="21"/>
                <w:szCs w:val="21"/>
                <w:u w:val="none"/>
                <w:lang w:val="en-US" w:eastAsia="zh-CN" w:bidi="ar"/>
              </w:rPr>
              <w:t>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4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default"/>
                <w:lang w:val="en-US" w:eastAsia="zh-CN"/>
              </w:rPr>
              <w:t xml:space="preserve">Rabbit Anti-TRPV1 antibody </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100ul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sz w:val="21"/>
                <w:szCs w:val="21"/>
                <w:lang w:val="en-US" w:eastAsia="zh-CN"/>
              </w:rPr>
              <w:t>单克隆抗体，可用于小鼠标本做WB/I</w:t>
            </w:r>
            <w:r>
              <w:rPr>
                <w:rFonts w:hint="eastAsia" w:eastAsia="等线" w:cs="Calibri"/>
                <w:i w:val="0"/>
                <w:iCs w:val="0"/>
                <w:color w:val="000000"/>
                <w:kern w:val="0"/>
                <w:sz w:val="21"/>
                <w:szCs w:val="21"/>
                <w:u w:val="none"/>
                <w:lang w:val="en-US" w:eastAsia="zh-CN" w:bidi="ar"/>
              </w:rPr>
              <w:t>F/IHC</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305"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eastAsia="zh-CN"/>
              </w:rPr>
            </w:pPr>
            <w:r>
              <w:rPr>
                <w:rFonts w:hint="default"/>
                <w:lang w:val="en-US" w:eastAsia="zh-CN"/>
              </w:rPr>
              <w:t>PCR</w:t>
            </w:r>
            <w:r>
              <w:rPr>
                <w:rFonts w:hint="eastAsia"/>
                <w:lang w:val="en-US" w:eastAsia="zh-CN"/>
              </w:rPr>
              <w:t>引物设计及合成</w:t>
            </w:r>
          </w:p>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对</w:t>
            </w:r>
          </w:p>
        </w:tc>
        <w:tc>
          <w:tcPr>
            <w:tcW w:w="1151" w:type="pct"/>
            <w:tcBorders>
              <w:top w:val="single" w:color="auto" w:sz="4" w:space="0"/>
              <w:left w:val="nil"/>
              <w:bottom w:val="single" w:color="auto" w:sz="4" w:space="0"/>
              <w:right w:val="single" w:color="auto" w:sz="4" w:space="0"/>
            </w:tcBorders>
            <w:noWrap/>
            <w:vAlign w:val="center"/>
          </w:tcPr>
          <w:p>
            <w:pPr>
              <w:rPr>
                <w:rFonts w:hint="default"/>
                <w:sz w:val="21"/>
                <w:szCs w:val="21"/>
                <w:lang w:val="en-US" w:eastAsia="zh-CN"/>
              </w:rPr>
            </w:pPr>
            <w:r>
              <w:rPr>
                <w:rFonts w:hint="eastAsia"/>
                <w:sz w:val="21"/>
                <w:szCs w:val="21"/>
                <w:lang w:val="en-US" w:eastAsia="zh-CN"/>
              </w:rPr>
              <w:t>可对</w:t>
            </w:r>
            <w:r>
              <w:rPr>
                <w:rFonts w:hint="default"/>
                <w:sz w:val="21"/>
                <w:szCs w:val="21"/>
                <w:lang w:val="en-US" w:eastAsia="zh-CN"/>
              </w:rPr>
              <w:t>IL-6、MMP-9、Tpsab1、VEGF、MRGPRB2、MRGPRX2、SP、PACAP、CGRP、TRPV1、TRPA1</w:t>
            </w:r>
            <w:r>
              <w:rPr>
                <w:rFonts w:hint="eastAsia"/>
                <w:sz w:val="21"/>
                <w:szCs w:val="21"/>
                <w:lang w:val="en-US" w:eastAsia="zh-CN"/>
              </w:rPr>
              <w:t>进行引物设计及合成</w:t>
            </w:r>
          </w:p>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24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14</w:t>
            </w:r>
          </w:p>
        </w:tc>
        <w:tc>
          <w:tcPr>
            <w:tcW w:w="1024" w:type="pct"/>
            <w:tcBorders>
              <w:top w:val="single" w:color="auto" w:sz="4" w:space="0"/>
              <w:left w:val="nil"/>
              <w:bottom w:val="single" w:color="auto" w:sz="4" w:space="0"/>
              <w:right w:val="single" w:color="auto" w:sz="4" w:space="0"/>
            </w:tcBorders>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MRGPRX2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4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15</w:t>
            </w:r>
          </w:p>
        </w:tc>
        <w:tc>
          <w:tcPr>
            <w:tcW w:w="1024" w:type="pct"/>
            <w:tcBorders>
              <w:top w:val="single" w:color="auto" w:sz="4" w:space="0"/>
              <w:left w:val="nil"/>
              <w:bottom w:val="single" w:color="auto" w:sz="4" w:space="0"/>
              <w:right w:val="single" w:color="auto" w:sz="4" w:space="0"/>
            </w:tcBorders>
            <w:noWrap/>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SP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5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16</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PACAP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17</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CGRP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22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18</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FcɛRI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2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19</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LL37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196"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20</w:t>
            </w:r>
          </w:p>
        </w:tc>
        <w:tc>
          <w:tcPr>
            <w:tcW w:w="1024" w:type="pct"/>
            <w:tcBorders>
              <w:top w:val="single" w:color="auto" w:sz="4" w:space="0"/>
              <w:left w:val="nil"/>
              <w:bottom w:val="single" w:color="auto" w:sz="4" w:space="0"/>
              <w:right w:val="single" w:color="auto" w:sz="4" w:space="0"/>
            </w:tcBorders>
            <w:noWrap/>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KLK5 ELISA kit</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96T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可用于人血液、组织、细胞上清等标本的 ELISA 检测</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309"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21</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default" w:eastAsia="宋体"/>
                <w:lang w:val="en-US" w:eastAsia="zh-CN"/>
              </w:rPr>
              <w:t xml:space="preserve">粪便样本采集器 </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个</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eastAsia="宋体"/>
                <w:sz w:val="21"/>
                <w:szCs w:val="21"/>
                <w:lang w:val="en-US" w:eastAsia="zh-CN"/>
              </w:rPr>
              <w:t>粪便简易自助采集器，用于肠道微生物分析</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150</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r>
      <w:tr>
        <w:tblPrEx>
          <w:tblCellMar>
            <w:top w:w="0" w:type="dxa"/>
            <w:left w:w="108" w:type="dxa"/>
            <w:bottom w:w="0" w:type="dxa"/>
            <w:right w:w="108" w:type="dxa"/>
          </w:tblCellMar>
        </w:tblPrEx>
        <w:trPr>
          <w:trHeight w:val="181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22</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asciiTheme="minorHAnsi" w:hAnsiTheme="minorHAnsi" w:cstheme="minorBidi"/>
                <w:kern w:val="2"/>
                <w:sz w:val="21"/>
                <w:szCs w:val="24"/>
                <w:lang w:val="en-US" w:eastAsia="zh-CN" w:bidi="ar-SA"/>
              </w:rPr>
            </w:pPr>
            <w:r>
              <w:rPr>
                <w:rFonts w:hint="default"/>
                <w:lang w:val="en-US" w:eastAsia="zh-CN"/>
              </w:rPr>
              <w:t>RNAsafe动植物组织RNA稳定-过渡溶液</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用于稳定并保护新鲜组织采集样本内RNA，兼容所有的RNA分离方法</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sz w:val="21"/>
                <w:szCs w:val="21"/>
                <w:lang w:val="en-US" w:eastAsia="zh-CN"/>
              </w:rPr>
            </w:pPr>
          </w:p>
        </w:tc>
      </w:tr>
      <w:tr>
        <w:tblPrEx>
          <w:tblCellMar>
            <w:top w:w="0" w:type="dxa"/>
            <w:left w:w="108" w:type="dxa"/>
            <w:bottom w:w="0" w:type="dxa"/>
            <w:right w:w="108" w:type="dxa"/>
          </w:tblCellMar>
        </w:tblPrEx>
        <w:trPr>
          <w:trHeight w:val="236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23</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asciiTheme="minorHAnsi" w:hAnsiTheme="minorHAnsi" w:cstheme="minorBidi"/>
                <w:kern w:val="2"/>
                <w:sz w:val="21"/>
                <w:szCs w:val="24"/>
                <w:lang w:val="en-US" w:eastAsia="zh-CN" w:bidi="ar-SA"/>
              </w:rPr>
            </w:pPr>
            <w:r>
              <w:rPr>
                <w:rFonts w:hint="default"/>
                <w:lang w:val="en-US" w:eastAsia="zh-CN"/>
              </w:rPr>
              <w:t>小鼠免疫组化(IHC)检测试剂盒​Immunohischemistry Kit for Mouse Primary Antibody</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100T</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用于检测以小鼠单克隆或多克隆抗体为一抗的免疫组化实验，配有IHC所有试剂，适用与多种类型样本</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173"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24</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asciiTheme="minorHAnsi" w:hAnsiTheme="minorHAnsi" w:cstheme="minorBidi"/>
                <w:kern w:val="2"/>
                <w:sz w:val="21"/>
                <w:szCs w:val="24"/>
                <w:lang w:val="en-US" w:eastAsia="zh-CN" w:bidi="ar-SA"/>
              </w:rPr>
            </w:pPr>
            <w:r>
              <w:rPr>
                <w:rFonts w:hint="eastAsia"/>
                <w:lang w:val="en-US" w:eastAsia="zh-CN"/>
              </w:rPr>
              <w:t>改良苏木素伊红(HE)染色试剂盒</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可以用于组织切片的HE染色</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84"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25</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asciiTheme="minorHAnsi" w:hAnsiTheme="minorHAnsi" w:cstheme="minorBidi"/>
                <w:kern w:val="2"/>
                <w:sz w:val="21"/>
                <w:szCs w:val="24"/>
                <w:lang w:val="en-US" w:eastAsia="zh-CN" w:bidi="ar-SA"/>
              </w:rPr>
            </w:pPr>
            <w:r>
              <w:rPr>
                <w:rFonts w:hint="default" w:eastAsia="宋体"/>
                <w:lang w:val="en-US" w:eastAsia="zh-CN"/>
              </w:rPr>
              <w:t>甲苯胺蓝水溶液(1%)</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适用于组织切片的肥大细胞染色</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81"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26</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4%多聚甲醛固定液</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100ml</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用于动物组织和细胞标本的固定</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87" w:hRule="exact"/>
        </w:trPr>
        <w:tc>
          <w:tcPr>
            <w:tcW w:w="3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27</w:t>
            </w:r>
          </w:p>
        </w:tc>
        <w:tc>
          <w:tcPr>
            <w:tcW w:w="102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免疫组化笔(Liquid Blocker PAP Pen)</w:t>
            </w:r>
          </w:p>
        </w:tc>
        <w:tc>
          <w:tcPr>
            <w:tcW w:w="65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支</w:t>
            </w:r>
          </w:p>
        </w:tc>
        <w:tc>
          <w:tcPr>
            <w:tcW w:w="115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1"/>
                <w:szCs w:val="21"/>
                <w:u w:val="none"/>
                <w:lang w:val="en-US" w:eastAsia="zh-CN" w:bidi="ar"/>
              </w:rPr>
            </w:pPr>
            <w:r>
              <w:rPr>
                <w:rFonts w:hint="eastAsia" w:eastAsia="等线" w:cs="Calibri"/>
                <w:i w:val="0"/>
                <w:iCs w:val="0"/>
                <w:color w:val="000000"/>
                <w:kern w:val="0"/>
                <w:sz w:val="21"/>
                <w:szCs w:val="21"/>
                <w:u w:val="none"/>
                <w:lang w:val="en-US" w:eastAsia="zh-CN" w:bidi="ar"/>
              </w:rPr>
              <w:t>主要用于免疫组化或免疫荧光等染色实验</w:t>
            </w:r>
          </w:p>
        </w:tc>
        <w:tc>
          <w:tcPr>
            <w:tcW w:w="712"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asciiTheme="minorHAnsi" w:hAnsiTheme="minorHAns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1</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33" w:hRule="exact"/>
        </w:trPr>
        <w:tc>
          <w:tcPr>
            <w:tcW w:w="3943"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等线" w:cs="Calibri"/>
                <w:i w:val="0"/>
                <w:iCs w:val="0"/>
                <w:color w:val="000000"/>
                <w:kern w:val="0"/>
                <w:sz w:val="22"/>
                <w:szCs w:val="22"/>
                <w:u w:val="none"/>
                <w:lang w:val="en-US" w:eastAsia="zh-CN" w:bidi="ar"/>
              </w:rPr>
            </w:pPr>
            <w:r>
              <w:rPr>
                <w:rFonts w:hint="eastAsia" w:eastAsia="等线" w:cs="Calibri"/>
                <w:i w:val="0"/>
                <w:iCs w:val="0"/>
                <w:color w:val="000000"/>
                <w:kern w:val="0"/>
                <w:sz w:val="22"/>
                <w:szCs w:val="22"/>
                <w:u w:val="none"/>
                <w:lang w:val="en-US" w:eastAsia="zh-CN" w:bidi="ar"/>
              </w:rPr>
              <w:t>合计（元）</w:t>
            </w:r>
          </w:p>
        </w:tc>
        <w:tc>
          <w:tcPr>
            <w:tcW w:w="105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bl>
    <w:p>
      <w:pPr>
        <w:spacing w:line="480" w:lineRule="auto"/>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76B2BA0-AB6D-42F3-BE22-85371B1162FB}"/>
  </w:font>
  <w:font w:name="方正小标宋_GBK">
    <w:panose1 w:val="03000509000000000000"/>
    <w:charset w:val="86"/>
    <w:family w:val="auto"/>
    <w:pitch w:val="default"/>
    <w:sig w:usb0="00000001" w:usb1="080E0000" w:usb2="00000000" w:usb3="00000000" w:csb0="00040000" w:csb1="00000000"/>
    <w:embedRegular r:id="rId2" w:fontKey="{145A31F1-E9BA-49B3-BCD9-BB83A5EBDCA3}"/>
  </w:font>
  <w:font w:name="方正仿宋_GBK">
    <w:panose1 w:val="03000509000000000000"/>
    <w:charset w:val="86"/>
    <w:family w:val="script"/>
    <w:pitch w:val="default"/>
    <w:sig w:usb0="00000001" w:usb1="080E0000" w:usb2="00000000" w:usb3="00000000" w:csb0="00040000" w:csb1="00000000"/>
    <w:embedRegular r:id="rId3" w:fontKey="{52B02B24-C3B5-40FC-96E8-E15D920B485F}"/>
  </w:font>
  <w:font w:name="方正仿宋_GB2312">
    <w:panose1 w:val="02000000000000000000"/>
    <w:charset w:val="86"/>
    <w:family w:val="auto"/>
    <w:pitch w:val="default"/>
    <w:sig w:usb0="A00002BF" w:usb1="184F6CFA" w:usb2="00000012" w:usb3="00000000" w:csb0="00040001" w:csb1="00000000"/>
    <w:embedRegular r:id="rId4" w:fontKey="{0C127C0D-C047-449A-BF78-9DB8165548F2}"/>
  </w:font>
  <w:font w:name="等线">
    <w:panose1 w:val="02010600030101010101"/>
    <w:charset w:val="86"/>
    <w:family w:val="auto"/>
    <w:pitch w:val="default"/>
    <w:sig w:usb0="A00002BF" w:usb1="38CF7CFA" w:usb2="00000016" w:usb3="00000000" w:csb0="0004000F" w:csb1="00000000"/>
    <w:embedRegular r:id="rId5" w:fontKey="{7C055C2C-AB3C-4250-B717-1CD537BE25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A1OGNhNDRlYzhkN2M5ZWNlYmI3ZDZmY2EzZmYifQ=="/>
  </w:docVars>
  <w:rsids>
    <w:rsidRoot w:val="5BFD6593"/>
    <w:rsid w:val="013769CB"/>
    <w:rsid w:val="130848A2"/>
    <w:rsid w:val="131E0AB7"/>
    <w:rsid w:val="1E824F34"/>
    <w:rsid w:val="233E0D32"/>
    <w:rsid w:val="26137398"/>
    <w:rsid w:val="2D047A30"/>
    <w:rsid w:val="2FC1125D"/>
    <w:rsid w:val="31FE5396"/>
    <w:rsid w:val="382F4DB5"/>
    <w:rsid w:val="393D7D07"/>
    <w:rsid w:val="3A5F0287"/>
    <w:rsid w:val="3F2946A4"/>
    <w:rsid w:val="41B31CF9"/>
    <w:rsid w:val="4820176A"/>
    <w:rsid w:val="57752602"/>
    <w:rsid w:val="597876B5"/>
    <w:rsid w:val="59BC46C1"/>
    <w:rsid w:val="5BFD6593"/>
    <w:rsid w:val="5DBD6FCC"/>
    <w:rsid w:val="60932FCA"/>
    <w:rsid w:val="65404DA2"/>
    <w:rsid w:val="6D322D17"/>
    <w:rsid w:val="71183FF5"/>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2024-03-01T08:37:08Z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6D311993E5934256958E376EF9FF9FED_11</vt:lpwstr>
  </property>
</Properties>
</file>