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报价函</w:t>
      </w:r>
    </w:p>
    <w:p>
      <w:pPr>
        <w:spacing w:line="560" w:lineRule="exact"/>
        <w:ind w:firstLine="640" w:firstLineChars="200"/>
        <w:jc w:val="left"/>
        <w:rPr>
          <w:rFonts w:hint="eastAsia" w:ascii="方正仿宋_GBK" w:hAnsi="方正仿宋_GBK" w:eastAsia="方正仿宋_GBK" w:cs="方正仿宋_GBK"/>
          <w:color w:val="000000"/>
          <w:sz w:val="32"/>
          <w:szCs w:val="32"/>
          <w:lang w:val="en-US" w:eastAsia="zh-CN"/>
        </w:rPr>
      </w:pPr>
    </w:p>
    <w:p>
      <w:pPr>
        <w:spacing w:line="560" w:lineRule="exact"/>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成都市第二人民医院：</w:t>
      </w:r>
    </w:p>
    <w:p>
      <w:pPr>
        <w:spacing w:line="560" w:lineRule="exact"/>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w:t>
      </w:r>
      <w:r>
        <w:rPr>
          <w:rFonts w:hint="eastAsia" w:ascii="方正仿宋_GB2312" w:hAnsi="方正仿宋_GB2312" w:eastAsia="方正仿宋_GB2312" w:cs="方正仿宋_GB2312"/>
          <w:sz w:val="32"/>
          <w:szCs w:val="32"/>
          <w:highlight w:val="none"/>
        </w:rPr>
        <w:t>成都市第二人民医院《YKL-40通过NLRP3炎症体信号通路介导肥大细胞活化参与慢性自发性荨麻疹发病的机制研究》课题试剂耗材采购项目</w:t>
      </w:r>
      <w:r>
        <w:rPr>
          <w:rFonts w:hint="eastAsia" w:ascii="方正仿宋_GBK" w:hAnsi="方正仿宋_GBK" w:eastAsia="方正仿宋_GBK" w:cs="方正仿宋_GBK"/>
          <w:color w:val="000000"/>
          <w:sz w:val="32"/>
          <w:szCs w:val="32"/>
          <w:lang w:val="en-US" w:eastAsia="zh-CN"/>
        </w:rPr>
        <w:t>需求，我公司仔细研究，具体报价如下：</w:t>
      </w:r>
    </w:p>
    <w:p>
      <w:pPr>
        <w:spacing w:line="560" w:lineRule="exact"/>
        <w:ind w:firstLine="640" w:firstLineChars="200"/>
        <w:jc w:val="left"/>
        <w:rPr>
          <w:rFonts w:hint="eastAsia" w:ascii="方正仿宋_GBK" w:hAnsi="方正仿宋_GBK" w:eastAsia="方正仿宋_GBK" w:cs="方正仿宋_GBK"/>
          <w:color w:val="000000"/>
          <w:sz w:val="32"/>
          <w:szCs w:val="32"/>
          <w:lang w:val="en-US" w:eastAsia="zh-CN"/>
        </w:rPr>
      </w:pPr>
    </w:p>
    <w:tbl>
      <w:tblPr>
        <w:tblStyle w:val="3"/>
        <w:tblW w:w="4998" w:type="pct"/>
        <w:jc w:val="center"/>
        <w:tblLayout w:type="autofit"/>
        <w:tblCellMar>
          <w:top w:w="0" w:type="dxa"/>
          <w:left w:w="108" w:type="dxa"/>
          <w:bottom w:w="0" w:type="dxa"/>
          <w:right w:w="108" w:type="dxa"/>
        </w:tblCellMar>
      </w:tblPr>
      <w:tblGrid>
        <w:gridCol w:w="548"/>
        <w:gridCol w:w="1346"/>
        <w:gridCol w:w="717"/>
        <w:gridCol w:w="2136"/>
        <w:gridCol w:w="1122"/>
        <w:gridCol w:w="1280"/>
        <w:gridCol w:w="1370"/>
      </w:tblGrid>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2"/>
              </w:rPr>
            </w:pPr>
            <w:r>
              <w:rPr>
                <w:rFonts w:hint="eastAsia" w:ascii="方正黑体_GBK" w:hAnsi="方正黑体_GBK" w:eastAsia="方正黑体_GBK" w:cs="方正黑体_GBK"/>
                <w:color w:val="000000"/>
                <w:kern w:val="0"/>
                <w:sz w:val="22"/>
              </w:rPr>
              <w:t>序号</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2"/>
              </w:rPr>
            </w:pPr>
            <w:r>
              <w:rPr>
                <w:rFonts w:hint="eastAsia" w:ascii="方正黑体_GBK" w:hAnsi="方正黑体_GBK" w:eastAsia="方正黑体_GBK" w:cs="方正黑体_GBK"/>
                <w:color w:val="000000"/>
                <w:kern w:val="0"/>
                <w:sz w:val="22"/>
              </w:rPr>
              <w:t>名称</w:t>
            </w:r>
          </w:p>
        </w:tc>
        <w:tc>
          <w:tcPr>
            <w:tcW w:w="42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2"/>
                <w:lang w:val="en-US" w:eastAsia="zh-CN"/>
              </w:rPr>
            </w:pPr>
            <w:r>
              <w:rPr>
                <w:rFonts w:hint="eastAsia" w:ascii="方正黑体_GBK" w:hAnsi="方正黑体_GBK" w:eastAsia="方正黑体_GBK" w:cs="方正黑体_GBK"/>
                <w:color w:val="000000"/>
                <w:kern w:val="0"/>
                <w:sz w:val="22"/>
                <w:lang w:val="en-US" w:eastAsia="zh-CN"/>
              </w:rPr>
              <w:t>规格</w:t>
            </w:r>
          </w:p>
        </w:tc>
        <w:tc>
          <w:tcPr>
            <w:tcW w:w="125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2"/>
                <w:lang w:val="en-US" w:eastAsia="zh-CN"/>
              </w:rPr>
            </w:pPr>
            <w:r>
              <w:rPr>
                <w:rFonts w:hint="eastAsia" w:ascii="方正黑体_GBK" w:hAnsi="方正黑体_GBK" w:eastAsia="方正黑体_GBK" w:cs="方正黑体_GBK"/>
                <w:color w:val="000000"/>
                <w:kern w:val="0"/>
                <w:sz w:val="22"/>
                <w:lang w:val="en-US" w:eastAsia="zh-CN"/>
              </w:rPr>
              <w:t>参数</w:t>
            </w:r>
          </w:p>
        </w:tc>
        <w:tc>
          <w:tcPr>
            <w:tcW w:w="65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2"/>
                <w:lang w:val="en-US" w:eastAsia="zh-CN"/>
              </w:rPr>
            </w:pPr>
            <w:r>
              <w:rPr>
                <w:rFonts w:hint="eastAsia" w:ascii="方正黑体_GBK" w:hAnsi="方正黑体_GBK" w:eastAsia="方正黑体_GBK" w:cs="方正黑体_GBK"/>
                <w:color w:val="000000"/>
                <w:kern w:val="0"/>
                <w:sz w:val="22"/>
                <w:lang w:val="en-US" w:eastAsia="zh-CN"/>
              </w:rPr>
              <w:t>预估数量</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方正黑体_GBK" w:eastAsia="方正黑体_GBK" w:cs="方正黑体_GBK"/>
                <w:color w:val="000000"/>
                <w:kern w:val="0"/>
                <w:sz w:val="22"/>
                <w:lang w:val="en-US" w:eastAsia="zh-CN"/>
              </w:rPr>
            </w:pPr>
            <w:r>
              <w:rPr>
                <w:rFonts w:hint="eastAsia" w:ascii="方正黑体_GBK" w:hAnsi="方正黑体_GBK" w:eastAsia="方正黑体_GBK" w:cs="方正黑体_GBK"/>
                <w:color w:val="000000"/>
                <w:kern w:val="0"/>
                <w:sz w:val="22"/>
                <w:lang w:val="en-US" w:eastAsia="zh-CN"/>
              </w:rPr>
              <w:t>单价（元）</w:t>
            </w: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2"/>
                <w:lang w:val="en-US" w:eastAsia="zh-CN"/>
              </w:rPr>
            </w:pPr>
            <w:r>
              <w:rPr>
                <w:rFonts w:hint="eastAsia" w:ascii="方正黑体_GBK" w:hAnsi="方正黑体_GBK" w:eastAsia="方正黑体_GBK" w:cs="方正黑体_GBK"/>
                <w:color w:val="000000"/>
                <w:kern w:val="0"/>
                <w:sz w:val="22"/>
                <w:lang w:val="en-US" w:eastAsia="zh-CN"/>
              </w:rPr>
              <w:t>总价（元）</w:t>
            </w: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mouse IL-4</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50ug</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GMP级无菌液体（1mg/ml）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mouse IL-2</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50ug</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GMP级无菌液体（1mg/ml）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3</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IFN-γ</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50ug</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GMP级无菌液体（1mg/ml）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4</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ionomycin</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50ul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浓度为1.1mg/ml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5</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Brefeldin A</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600ul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浓度为14mM</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6</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Mouse Th1/Th2流式试剂盒</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30T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配有流式检测所有试剂</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7</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mouse IL-4   Elisa  Kit</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96T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可用于小鼠血液、组织、细胞上清等标本的ELISA检测，检测范围满足0.5pg/ml-200pg/ml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8</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mouse  IL-5   Elisa Kit</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96T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可用于小鼠血液、组织、细胞上清等标本的ELISA检测，检测范围满足1pg/ml -200 pg/ml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9</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mouse   IL-13 Elisa Kit</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96T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可用于小鼠血液、组织、细胞上清等标本的ELISA检测，检测范围满足1pg/ml -200 pg/ml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mouse  IFN-γ Elisa Kit</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96T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可用于小鼠血液、组织、细胞上清等标本的ELISA检测，检测范围满足1pg/ml-320 pg/ml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11</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mouse   IL-1β Elisa Kit</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96T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可用于小鼠血液、组织、细胞上清等标本的ELISA检测，检测范围满足1pg/ml-320 pg/ml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12</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si-h-CHI3L1</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50T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需要3对基因以及对照</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13</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CCL17  Elisa Kit</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96T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可用于小鼠血液、组织、细胞上清等标本的ELISA检测，检测范围满足1pg/ml-320 pg/ml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14</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GM-CSF  Elisa Kit</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96T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可用于小鼠血液、组织、细胞上清等标本的ELISA检测，检测范围满足4pg/mL-620 pg/mL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15</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ICAM-1    Elisa Kit</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96T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可用于小鼠血液、组织、细胞上清等标本的ELISA检测，检测范围满足30pg/ml -5300pg/ml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16</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HI3L1/YKL40  antibody</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可以小鼠做IP/FCM/WB/IF</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17</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lps溶液</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浓度500x</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3</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18</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YKL-40   elisa</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96T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可用于小鼠血液、组织、细胞上清等标本的ELISA检测，检测范围满足12.5-4200pg/ml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19</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IgE elisa</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96T</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可用于小鼠血液、组织、细胞上清等标本的ELISA检测，检测范围满足0.1ng/ml -40ng/ml</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20</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CD4 antibody</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单克隆抗体，可用于人、小鼠标本做IP/FCM/WB/IF</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21</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IL-4  antibody</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单克隆抗体，可用于人、小鼠标本做IP/FCM/WB/IF</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22</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STAT3   antibody</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单克隆抗体，可用于人、小鼠标本做IP/FCM/WB/IF</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23</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p-STAT3   antibody</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单克隆抗体，可用于人、小鼠标本做IP/FCM/WB/IF</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24</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NLRP3   antibody</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单克隆抗体，可用于人、小鼠标本做IP/FCM/WB/IF</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25</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p65   antibody</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单克隆抗体，可用于人、小鼠标本做IP/FCM/WB/IF</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26</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p-p65   antibody</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单克隆抗体，可用于人、小鼠标本做IP/FCM/WB/IF</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27</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IκBα   antibody</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单克隆抗体，可用于人、小鼠标本做IP/FCM/WB/IF</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28</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p- IκBα    antibody</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单克隆抗体，可用于人、小鼠标本做IP/FCM/WB/IF</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29</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Mouse CD4分离磁珠</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1ml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配有分选架，适合微量分选，保证细胞活性</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30</w:t>
            </w:r>
          </w:p>
        </w:tc>
        <w:tc>
          <w:tcPr>
            <w:tcW w:w="7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CHI3L1腺相关病毒</w:t>
            </w:r>
          </w:p>
        </w:tc>
        <w:tc>
          <w:tcPr>
            <w:tcW w:w="42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200ul</w:t>
            </w:r>
          </w:p>
        </w:tc>
        <w:tc>
          <w:tcPr>
            <w:tcW w:w="125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滴度需要10*10次方</w:t>
            </w:r>
          </w:p>
        </w:tc>
        <w:tc>
          <w:tcPr>
            <w:tcW w:w="65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Calibri" w:hAnsi="Calibri" w:eastAsia="等线" w:cs="Calibri"/>
                <w:i w:val="0"/>
                <w:iCs w:val="0"/>
                <w:color w:val="000000"/>
                <w:kern w:val="0"/>
                <w:sz w:val="22"/>
                <w:szCs w:val="22"/>
                <w:u w:val="none"/>
                <w:lang w:val="en-US" w:eastAsia="zh-CN" w:bidi="ar"/>
              </w:rPr>
            </w:pPr>
            <w:r>
              <w:rPr>
                <w:rFonts w:hint="eastAsia" w:ascii="Calibri" w:hAnsi="Calibri" w:eastAsia="等线" w:cs="Calibri"/>
                <w:i w:val="0"/>
                <w:iCs w:val="0"/>
                <w:color w:val="000000"/>
                <w:kern w:val="0"/>
                <w:sz w:val="22"/>
                <w:szCs w:val="22"/>
                <w:u w:val="none"/>
                <w:lang w:val="en-US" w:eastAsia="zh-CN" w:bidi="ar"/>
              </w:rPr>
              <w:t>1</w:t>
            </w:r>
          </w:p>
        </w:tc>
        <w:tc>
          <w:tcPr>
            <w:tcW w:w="74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000000"/>
                <w:kern w:val="0"/>
                <w:sz w:val="22"/>
                <w:lang w:val="en-US" w:eastAsia="zh-CN"/>
              </w:rPr>
            </w:pP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r>
        <w:tblPrEx>
          <w:tblCellMar>
            <w:top w:w="0" w:type="dxa"/>
            <w:left w:w="108" w:type="dxa"/>
            <w:bottom w:w="0" w:type="dxa"/>
            <w:right w:w="108" w:type="dxa"/>
          </w:tblCellMar>
        </w:tblPrEx>
        <w:trPr>
          <w:trHeight w:val="360" w:hRule="atLeast"/>
          <w:jc w:val="center"/>
        </w:trPr>
        <w:tc>
          <w:tcPr>
            <w:tcW w:w="4195"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color w:val="000000"/>
                <w:kern w:val="0"/>
                <w:sz w:val="22"/>
                <w:lang w:val="en-US" w:eastAsia="zh-CN"/>
              </w:rPr>
            </w:pPr>
            <w:r>
              <w:rPr>
                <w:rFonts w:hint="eastAsia" w:ascii="Calibri" w:hAnsi="Calibri" w:eastAsia="等线" w:cs="Calibri"/>
                <w:i w:val="0"/>
                <w:iCs w:val="0"/>
                <w:color w:val="000000"/>
                <w:kern w:val="0"/>
                <w:sz w:val="22"/>
                <w:szCs w:val="22"/>
                <w:u w:val="none"/>
                <w:lang w:val="en-US" w:eastAsia="zh-CN" w:bidi="ar"/>
              </w:rPr>
              <w:t>总计</w:t>
            </w: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000000"/>
                <w:kern w:val="0"/>
                <w:sz w:val="22"/>
                <w:lang w:val="en-US" w:eastAsia="zh-CN"/>
              </w:rPr>
            </w:pPr>
          </w:p>
        </w:tc>
      </w:tr>
    </w:tbl>
    <w:p>
      <w:pPr>
        <w:spacing w:line="480" w:lineRule="auto"/>
        <w:ind w:firstLine="480"/>
        <w:rPr>
          <w:rFonts w:hint="eastAsia" w:ascii="宋体" w:hAnsi="宋体" w:eastAsia="宋体"/>
          <w:sz w:val="28"/>
          <w:szCs w:val="28"/>
        </w:rPr>
      </w:pPr>
    </w:p>
    <w:p>
      <w:pPr>
        <w:spacing w:line="480" w:lineRule="auto"/>
        <w:ind w:firstLine="480"/>
        <w:rPr>
          <w:rFonts w:hint="eastAsia" w:ascii="宋体" w:hAnsi="宋体" w:eastAsia="宋体"/>
          <w:sz w:val="28"/>
          <w:szCs w:val="28"/>
          <w:lang w:eastAsia="zh-CN"/>
        </w:rPr>
      </w:pPr>
      <w:r>
        <w:rPr>
          <w:rFonts w:hint="eastAsia" w:ascii="宋体" w:hAnsi="宋体" w:eastAsia="宋体"/>
          <w:sz w:val="28"/>
          <w:szCs w:val="28"/>
        </w:rPr>
        <w:t>报价单位：</w:t>
      </w:r>
      <w:r>
        <w:rPr>
          <w:rFonts w:hint="eastAsia" w:ascii="宋体" w:hAnsi="宋体" w:eastAsia="宋体"/>
          <w:sz w:val="28"/>
          <w:szCs w:val="28"/>
          <w:lang w:eastAsia="zh-CN"/>
        </w:rPr>
        <w:t>（</w:t>
      </w:r>
      <w:r>
        <w:rPr>
          <w:rFonts w:hint="eastAsia" w:ascii="宋体" w:hAnsi="宋体" w:eastAsia="宋体"/>
          <w:sz w:val="28"/>
          <w:szCs w:val="28"/>
          <w:lang w:val="en-US" w:eastAsia="zh-CN"/>
        </w:rPr>
        <w:t>盖章</w:t>
      </w:r>
      <w:r>
        <w:rPr>
          <w:rFonts w:hint="eastAsia" w:ascii="宋体" w:hAnsi="宋体" w:eastAsia="宋体"/>
          <w:sz w:val="28"/>
          <w:szCs w:val="28"/>
          <w:lang w:eastAsia="zh-CN"/>
        </w:rPr>
        <w:t>）</w:t>
      </w:r>
      <w:bookmarkStart w:id="0" w:name="_GoBack"/>
      <w:bookmarkEnd w:id="0"/>
    </w:p>
    <w:p>
      <w:pPr>
        <w:spacing w:line="480" w:lineRule="auto"/>
        <w:ind w:firstLine="480"/>
        <w:rPr>
          <w:rFonts w:ascii="宋体" w:hAnsi="宋体" w:eastAsia="宋体"/>
          <w:sz w:val="28"/>
          <w:szCs w:val="28"/>
        </w:rPr>
      </w:pPr>
      <w:r>
        <w:rPr>
          <w:rFonts w:hint="eastAsia" w:ascii="宋体" w:hAnsi="宋体" w:eastAsia="宋体"/>
          <w:sz w:val="28"/>
          <w:szCs w:val="28"/>
        </w:rPr>
        <w:t>报价时间：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B24FA0-D515-4BF5-BB74-7EF37017BCCE}"/>
  </w:font>
  <w:font w:name="方正小标宋_GBK">
    <w:panose1 w:val="03000509000000000000"/>
    <w:charset w:val="86"/>
    <w:family w:val="auto"/>
    <w:pitch w:val="default"/>
    <w:sig w:usb0="00000001" w:usb1="080E0000" w:usb2="00000000" w:usb3="00000000" w:csb0="00040000" w:csb1="00000000"/>
    <w:embedRegular r:id="rId2" w:fontKey="{45298C0D-948B-41DB-849D-0F49A6CD86FE}"/>
  </w:font>
  <w:font w:name="方正仿宋_GBK">
    <w:panose1 w:val="03000509000000000000"/>
    <w:charset w:val="86"/>
    <w:family w:val="script"/>
    <w:pitch w:val="default"/>
    <w:sig w:usb0="00000001" w:usb1="080E0000" w:usb2="00000000" w:usb3="00000000" w:csb0="00040000" w:csb1="00000000"/>
    <w:embedRegular r:id="rId3" w:fontKey="{EBDE6533-24CB-416C-85E0-357AEACDAEA4}"/>
  </w:font>
  <w:font w:name="方正仿宋_GB2312">
    <w:panose1 w:val="02000000000000000000"/>
    <w:charset w:val="86"/>
    <w:family w:val="auto"/>
    <w:pitch w:val="default"/>
    <w:sig w:usb0="A00002BF" w:usb1="184F6CFA" w:usb2="00000012" w:usb3="00000000" w:csb0="00040001" w:csb1="00000000"/>
    <w:embedRegular r:id="rId4" w:fontKey="{889F24D4-6FA9-429E-9AE6-EA7DABF157EE}"/>
  </w:font>
  <w:font w:name="方正黑体_GBK">
    <w:panose1 w:val="03000509000000000000"/>
    <w:charset w:val="86"/>
    <w:family w:val="auto"/>
    <w:pitch w:val="default"/>
    <w:sig w:usb0="00000001" w:usb1="080E0000" w:usb2="00000000" w:usb3="00000000" w:csb0="00040000" w:csb1="00000000"/>
    <w:embedRegular r:id="rId5" w:fontKey="{028FDBC1-F1C5-42BA-BB6D-1196CBFB2A4E}"/>
  </w:font>
  <w:font w:name="等线">
    <w:panose1 w:val="02010600030101010101"/>
    <w:charset w:val="86"/>
    <w:family w:val="auto"/>
    <w:pitch w:val="default"/>
    <w:sig w:usb0="A00002BF" w:usb1="38CF7CFA" w:usb2="00000016" w:usb3="00000000" w:csb0="0004000F" w:csb1="00000000"/>
    <w:embedRegular r:id="rId6" w:fontKey="{ACBB1BF7-FF37-4E36-BBD7-BA255F70A69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A1OGNhNDRlYzhkN2M5ZWNlYmI3ZDZmY2EzZmYifQ=="/>
  </w:docVars>
  <w:rsids>
    <w:rsidRoot w:val="5BFD6593"/>
    <w:rsid w:val="06197506"/>
    <w:rsid w:val="233E0D32"/>
    <w:rsid w:val="2D047A30"/>
    <w:rsid w:val="2FC1125D"/>
    <w:rsid w:val="31FE5396"/>
    <w:rsid w:val="382F4DB5"/>
    <w:rsid w:val="3A5F0287"/>
    <w:rsid w:val="3F2946A4"/>
    <w:rsid w:val="41B31CF9"/>
    <w:rsid w:val="4820176A"/>
    <w:rsid w:val="510239A5"/>
    <w:rsid w:val="57752602"/>
    <w:rsid w:val="597876B5"/>
    <w:rsid w:val="59BC46C1"/>
    <w:rsid w:val="5BFD6593"/>
    <w:rsid w:val="5CAE15E3"/>
    <w:rsid w:val="5DBD6FCC"/>
    <w:rsid w:val="60932FCA"/>
    <w:rsid w:val="63D1196B"/>
    <w:rsid w:val="65404DA2"/>
    <w:rsid w:val="71183FF5"/>
    <w:rsid w:val="7557416E"/>
    <w:rsid w:val="7841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 w:type="paragraph" w:styleId="6">
    <w:name w:val="List Paragraph"/>
    <w:basedOn w:val="1"/>
    <w:autoRedefine/>
    <w:unhideWhenUsed/>
    <w:qFormat/>
    <w:uiPriority w:val="99"/>
    <w:pPr>
      <w:ind w:firstLine="420" w:firstLineChars="200"/>
    </w:pPr>
  </w:style>
  <w:style w:type="character" w:customStyle="1" w:styleId="7">
    <w:name w:val="font11"/>
    <w:basedOn w:val="4"/>
    <w:autoRedefine/>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2023-10-31T08:50:00Z</dcterms:created>
  <dc:creator>林林</dc:creator>
  <cp:lastModifiedBy>林林</cp:lastModifiedBy>
  <dcterms:modified xsi:type="dcterms:W3CDTF">2023-12-20T08:21:02Z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6D311993E5934256958E376EF9FF9FED_11</vt:lpwstr>
  </property>
</Properties>
</file>