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B37" w:rsidRDefault="004C68C4">
      <w:pPr>
        <w:widowControl w:val="0"/>
        <w:adjustRightInd/>
        <w:snapToGrid/>
        <w:spacing w:after="0" w:line="6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成都市第二人民医院</w:t>
      </w:r>
    </w:p>
    <w:p w:rsidR="00CC1B37" w:rsidRDefault="00604666">
      <w:pPr>
        <w:widowControl w:val="0"/>
        <w:adjustRightInd/>
        <w:snapToGrid/>
        <w:spacing w:after="0" w:line="640" w:lineRule="exact"/>
        <w:jc w:val="center"/>
        <w:rPr>
          <w:rFonts w:ascii="方正小标宋_GBK" w:eastAsia="方正小标宋_GBK"/>
          <w:sz w:val="44"/>
          <w:szCs w:val="32"/>
        </w:rPr>
      </w:pPr>
      <w:r w:rsidRPr="00604666">
        <w:rPr>
          <w:rFonts w:ascii="方正小标宋_GBK" w:eastAsia="方正小标宋_GBK" w:hAnsi="方正小标宋_GBK" w:cs="方正小标宋_GBK" w:hint="eastAsia"/>
          <w:sz w:val="44"/>
          <w:szCs w:val="44"/>
        </w:rPr>
        <w:t>电子病历5级咨询</w:t>
      </w:r>
      <w:r>
        <w:rPr>
          <w:rFonts w:ascii="方正小标宋_GBK" w:eastAsia="方正小标宋_GBK" w:hAnsi="方正小标宋_GBK" w:cs="方正小标宋_GBK" w:hint="eastAsia"/>
          <w:sz w:val="44"/>
          <w:szCs w:val="44"/>
        </w:rPr>
        <w:t>服务</w:t>
      </w:r>
      <w:r w:rsidR="004C68C4">
        <w:rPr>
          <w:rFonts w:ascii="方正小标宋_GBK" w:eastAsia="方正小标宋_GBK" w:hAnsi="方正小标宋_GBK" w:cs="方正小标宋_GBK" w:hint="eastAsia"/>
          <w:sz w:val="44"/>
          <w:szCs w:val="44"/>
        </w:rPr>
        <w:t>项目</w:t>
      </w:r>
      <w:r w:rsidR="004C68C4">
        <w:rPr>
          <w:rFonts w:ascii="方正小标宋_GBK" w:eastAsia="方正小标宋_GBK" w:hint="eastAsia"/>
          <w:sz w:val="44"/>
          <w:szCs w:val="32"/>
        </w:rPr>
        <w:t>报价表</w:t>
      </w:r>
    </w:p>
    <w:p w:rsidR="00CC1B37" w:rsidRDefault="00CC1B37">
      <w:pPr>
        <w:widowControl w:val="0"/>
        <w:adjustRightInd/>
        <w:snapToGrid/>
        <w:spacing w:after="0" w:line="640" w:lineRule="exact"/>
        <w:jc w:val="center"/>
        <w:rPr>
          <w:rFonts w:ascii="方正小标宋_GBK" w:eastAsia="方正小标宋_GBK"/>
          <w:sz w:val="44"/>
          <w:szCs w:val="32"/>
        </w:rPr>
      </w:pPr>
    </w:p>
    <w:tbl>
      <w:tblPr>
        <w:tblW w:w="10241" w:type="dxa"/>
        <w:jc w:val="center"/>
        <w:tblLayout w:type="fixed"/>
        <w:tblCellMar>
          <w:left w:w="0" w:type="dxa"/>
          <w:right w:w="0" w:type="dxa"/>
        </w:tblCellMar>
        <w:tblLook w:val="04A0"/>
      </w:tblPr>
      <w:tblGrid>
        <w:gridCol w:w="863"/>
        <w:gridCol w:w="4637"/>
        <w:gridCol w:w="1903"/>
        <w:gridCol w:w="767"/>
        <w:gridCol w:w="1219"/>
        <w:gridCol w:w="852"/>
      </w:tblGrid>
      <w:tr w:rsidR="00CC1B37">
        <w:trPr>
          <w:trHeight w:val="710"/>
          <w:jc w:val="center"/>
        </w:trPr>
        <w:tc>
          <w:tcPr>
            <w:tcW w:w="86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C1B37" w:rsidRDefault="004C68C4">
            <w:pPr>
              <w:spacing w:after="0" w:line="400" w:lineRule="exact"/>
              <w:jc w:val="center"/>
              <w:rPr>
                <w:rFonts w:ascii="黑体" w:eastAsia="黑体" w:hAnsi="黑体" w:cs="黑体"/>
                <w:color w:val="000000"/>
                <w:szCs w:val="21"/>
              </w:rPr>
            </w:pPr>
            <w:r>
              <w:rPr>
                <w:rFonts w:ascii="黑体" w:eastAsia="黑体" w:hAnsi="黑体" w:cs="黑体" w:hint="eastAsia"/>
                <w:color w:val="000000"/>
                <w:szCs w:val="21"/>
              </w:rPr>
              <w:t>项目</w:t>
            </w:r>
          </w:p>
        </w:tc>
        <w:tc>
          <w:tcPr>
            <w:tcW w:w="463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C1B37" w:rsidRDefault="004C68C4">
            <w:pPr>
              <w:spacing w:after="0" w:line="400" w:lineRule="exact"/>
              <w:jc w:val="center"/>
              <w:rPr>
                <w:rFonts w:ascii="黑体" w:eastAsia="黑体" w:hAnsi="黑体" w:cs="黑体"/>
                <w:color w:val="000000"/>
                <w:szCs w:val="21"/>
              </w:rPr>
            </w:pPr>
            <w:r>
              <w:rPr>
                <w:rFonts w:ascii="黑体" w:eastAsia="黑体" w:hAnsi="黑体" w:cs="黑体" w:hint="eastAsia"/>
                <w:color w:val="000000"/>
                <w:szCs w:val="21"/>
              </w:rPr>
              <w:t>内容</w:t>
            </w:r>
          </w:p>
        </w:tc>
        <w:tc>
          <w:tcPr>
            <w:tcW w:w="19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C1B37" w:rsidRDefault="004C68C4">
            <w:pPr>
              <w:spacing w:after="0" w:line="400" w:lineRule="exact"/>
              <w:jc w:val="center"/>
              <w:rPr>
                <w:rFonts w:ascii="黑体" w:eastAsia="黑体" w:hAnsi="黑体" w:cs="黑体"/>
                <w:color w:val="000000"/>
                <w:szCs w:val="21"/>
              </w:rPr>
            </w:pPr>
            <w:r>
              <w:rPr>
                <w:rFonts w:ascii="黑体" w:eastAsia="黑体" w:hAnsi="黑体" w:cs="黑体" w:hint="eastAsia"/>
                <w:color w:val="000000"/>
                <w:szCs w:val="21"/>
              </w:rPr>
              <w:t>用途</w:t>
            </w:r>
          </w:p>
        </w:tc>
        <w:tc>
          <w:tcPr>
            <w:tcW w:w="7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C1B37" w:rsidRDefault="004C68C4">
            <w:pPr>
              <w:spacing w:after="0" w:line="400" w:lineRule="exact"/>
              <w:jc w:val="center"/>
              <w:rPr>
                <w:rFonts w:ascii="黑体" w:eastAsia="黑体" w:hAnsi="黑体" w:cs="黑体"/>
                <w:color w:val="000000"/>
                <w:szCs w:val="21"/>
              </w:rPr>
            </w:pPr>
            <w:r>
              <w:rPr>
                <w:rFonts w:ascii="黑体" w:eastAsia="黑体" w:hAnsi="黑体" w:cs="黑体" w:hint="eastAsia"/>
                <w:color w:val="000000"/>
                <w:szCs w:val="21"/>
              </w:rPr>
              <w:t>数量</w:t>
            </w:r>
          </w:p>
        </w:tc>
        <w:tc>
          <w:tcPr>
            <w:tcW w:w="121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C1B37" w:rsidRDefault="004C68C4" w:rsidP="00604666">
            <w:pPr>
              <w:spacing w:after="0" w:line="400" w:lineRule="exact"/>
              <w:jc w:val="center"/>
              <w:rPr>
                <w:rFonts w:ascii="黑体" w:eastAsia="黑体" w:hAnsi="黑体" w:cs="黑体"/>
                <w:color w:val="000000"/>
                <w:szCs w:val="21"/>
              </w:rPr>
            </w:pPr>
            <w:r>
              <w:rPr>
                <w:rFonts w:ascii="黑体" w:eastAsia="黑体" w:hAnsi="黑体" w:cs="黑体" w:hint="eastAsia"/>
                <w:color w:val="000000"/>
                <w:szCs w:val="21"/>
              </w:rPr>
              <w:t>报价</w:t>
            </w:r>
          </w:p>
        </w:tc>
        <w:tc>
          <w:tcPr>
            <w:tcW w:w="85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C1B37" w:rsidRDefault="004C68C4">
            <w:pPr>
              <w:spacing w:after="0" w:line="400" w:lineRule="exact"/>
              <w:jc w:val="center"/>
              <w:rPr>
                <w:rFonts w:ascii="黑体" w:eastAsia="黑体" w:hAnsi="黑体" w:cs="黑体"/>
                <w:color w:val="000000"/>
                <w:szCs w:val="21"/>
              </w:rPr>
            </w:pPr>
            <w:r>
              <w:rPr>
                <w:rFonts w:ascii="黑体" w:eastAsia="黑体" w:hAnsi="黑体" w:cs="黑体" w:hint="eastAsia"/>
                <w:color w:val="000000"/>
                <w:szCs w:val="21"/>
              </w:rPr>
              <w:t>备注</w:t>
            </w:r>
          </w:p>
        </w:tc>
      </w:tr>
      <w:tr w:rsidR="00CC1B37">
        <w:trPr>
          <w:trHeight w:val="2110"/>
          <w:jc w:val="center"/>
        </w:trPr>
        <w:tc>
          <w:tcPr>
            <w:tcW w:w="86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C1B37" w:rsidRDefault="00604666">
            <w:pPr>
              <w:spacing w:line="400" w:lineRule="exact"/>
              <w:jc w:val="center"/>
              <w:rPr>
                <w:rFonts w:ascii="黑体" w:eastAsia="黑体" w:hAnsi="黑体" w:cs="黑体"/>
                <w:color w:val="000000"/>
                <w:szCs w:val="21"/>
              </w:rPr>
            </w:pPr>
            <w:r w:rsidRPr="00604666">
              <w:rPr>
                <w:rFonts w:ascii="黑体" w:eastAsia="黑体" w:hAnsi="黑体" w:cs="黑体" w:hint="eastAsia"/>
                <w:color w:val="000000"/>
                <w:szCs w:val="21"/>
              </w:rPr>
              <w:t>电子病历5级咨询</w:t>
            </w:r>
            <w:r>
              <w:rPr>
                <w:rFonts w:ascii="黑体" w:eastAsia="黑体" w:hAnsi="黑体" w:cs="黑体" w:hint="eastAsia"/>
                <w:color w:val="000000"/>
                <w:szCs w:val="21"/>
              </w:rPr>
              <w:t>服务</w:t>
            </w:r>
            <w:r w:rsidR="004C68C4">
              <w:rPr>
                <w:rFonts w:ascii="黑体" w:eastAsia="黑体" w:hAnsi="黑体" w:cs="黑体" w:hint="eastAsia"/>
                <w:color w:val="000000"/>
                <w:szCs w:val="21"/>
              </w:rPr>
              <w:t>项目</w:t>
            </w:r>
          </w:p>
        </w:tc>
        <w:tc>
          <w:tcPr>
            <w:tcW w:w="463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A12C4" w:rsidRPr="00CA12C4" w:rsidRDefault="00CA12C4" w:rsidP="00CA12C4">
            <w:pPr>
              <w:spacing w:line="400" w:lineRule="exact"/>
              <w:rPr>
                <w:rFonts w:ascii="方正仿宋_GBK" w:eastAsia="方正仿宋_GBK" w:hAnsi="方正仿宋_GBK" w:cs="方正仿宋_GBK"/>
                <w:sz w:val="24"/>
                <w:szCs w:val="24"/>
              </w:rPr>
            </w:pPr>
            <w:r w:rsidRPr="00CA12C4">
              <w:rPr>
                <w:rFonts w:ascii="方正仿宋_GBK" w:eastAsia="方正仿宋_GBK" w:hAnsi="方正仿宋_GBK" w:cs="方正仿宋_GBK" w:hint="eastAsia"/>
                <w:sz w:val="24"/>
                <w:szCs w:val="24"/>
              </w:rPr>
              <w:t>成都市第二人民医院</w:t>
            </w:r>
          </w:p>
          <w:p w:rsidR="00CC1B37" w:rsidRPr="00CA12C4" w:rsidRDefault="00CA12C4" w:rsidP="00CA12C4">
            <w:pPr>
              <w:spacing w:line="400" w:lineRule="exact"/>
              <w:rPr>
                <w:rFonts w:ascii="方正仿宋_GBK" w:eastAsia="方正仿宋_GBK" w:hAnsi="方正仿宋_GBK" w:cs="方正仿宋_GBK"/>
                <w:sz w:val="24"/>
                <w:szCs w:val="24"/>
              </w:rPr>
            </w:pPr>
            <w:r w:rsidRPr="00CA12C4">
              <w:rPr>
                <w:rFonts w:ascii="方正仿宋_GBK" w:eastAsia="方正仿宋_GBK" w:hAnsi="方正仿宋_GBK" w:cs="方正仿宋_GBK" w:hint="eastAsia"/>
                <w:sz w:val="24"/>
                <w:szCs w:val="24"/>
              </w:rPr>
              <w:t>电子病历5级咨询</w:t>
            </w:r>
            <w:r>
              <w:rPr>
                <w:rFonts w:ascii="方正仿宋_GBK" w:eastAsia="方正仿宋_GBK" w:hAnsi="方正仿宋_GBK" w:cs="方正仿宋_GBK" w:hint="eastAsia"/>
                <w:sz w:val="24"/>
                <w:szCs w:val="24"/>
              </w:rPr>
              <w:t>服务内容</w:t>
            </w:r>
            <w:r w:rsidR="00604666" w:rsidRPr="00CA12C4">
              <w:rPr>
                <w:rFonts w:ascii="方正仿宋_GBK" w:eastAsia="方正仿宋_GBK" w:hAnsi="方正仿宋_GBK" w:cs="方正仿宋_GBK" w:hint="eastAsia"/>
                <w:sz w:val="24"/>
                <w:szCs w:val="24"/>
              </w:rPr>
              <w:t>详见附件</w:t>
            </w:r>
          </w:p>
          <w:p w:rsidR="00CC1B37" w:rsidRPr="00604666" w:rsidRDefault="00CC1B37">
            <w:pPr>
              <w:spacing w:line="400" w:lineRule="exact"/>
              <w:rPr>
                <w:rFonts w:ascii="方正仿宋_GBK" w:eastAsia="方正仿宋_GBK" w:hAnsi="方正仿宋_GBK" w:cs="方正仿宋_GBK"/>
              </w:rPr>
            </w:pPr>
          </w:p>
        </w:tc>
        <w:tc>
          <w:tcPr>
            <w:tcW w:w="190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C1B37" w:rsidRPr="009726D1" w:rsidRDefault="009726D1">
            <w:pPr>
              <w:spacing w:line="400" w:lineRule="exact"/>
              <w:jc w:val="both"/>
              <w:rPr>
                <w:rFonts w:ascii="方正仿宋_GBK" w:eastAsia="方正仿宋_GBK" w:hAnsi="方正仿宋_GBK" w:cs="方正仿宋_GBK"/>
              </w:rPr>
            </w:pPr>
            <w:r w:rsidRPr="009726D1">
              <w:rPr>
                <w:rFonts w:ascii="方正仿宋_GBK" w:eastAsia="方正仿宋_GBK" w:hAnsi="方正仿宋_GBK" w:cs="方正仿宋_GBK" w:hint="eastAsia"/>
                <w:bCs/>
              </w:rPr>
              <w:t>协助医院达成电子病历5级</w:t>
            </w:r>
          </w:p>
        </w:tc>
        <w:tc>
          <w:tcPr>
            <w:tcW w:w="7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C1B37" w:rsidRDefault="00604666">
            <w:pPr>
              <w:spacing w:after="0" w:line="400" w:lineRule="exact"/>
              <w:jc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zCs w:val="21"/>
              </w:rPr>
              <w:t>/</w:t>
            </w:r>
          </w:p>
        </w:tc>
        <w:tc>
          <w:tcPr>
            <w:tcW w:w="121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C1B37" w:rsidRDefault="00CC1B37">
            <w:pPr>
              <w:spacing w:after="0" w:line="400" w:lineRule="exact"/>
              <w:jc w:val="center"/>
              <w:rPr>
                <w:rFonts w:ascii="方正仿宋_GBK" w:eastAsia="方正仿宋_GBK" w:hAnsi="方正仿宋_GBK" w:cs="方正仿宋_GBK"/>
                <w:color w:val="000000"/>
                <w:szCs w:val="21"/>
              </w:rPr>
            </w:pPr>
          </w:p>
        </w:tc>
        <w:tc>
          <w:tcPr>
            <w:tcW w:w="8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C1B37" w:rsidRDefault="00CC1B37">
            <w:pPr>
              <w:spacing w:after="0" w:line="400" w:lineRule="exact"/>
              <w:jc w:val="center"/>
              <w:rPr>
                <w:rFonts w:ascii="方正仿宋_GBK" w:eastAsia="方正仿宋_GBK" w:hAnsi="方正仿宋_GBK" w:cs="方正仿宋_GBK"/>
                <w:color w:val="000000"/>
                <w:szCs w:val="21"/>
              </w:rPr>
            </w:pPr>
          </w:p>
        </w:tc>
      </w:tr>
    </w:tbl>
    <w:p w:rsidR="00CC1B37" w:rsidRDefault="00CC1B37">
      <w:pPr>
        <w:rPr>
          <w:rFonts w:ascii="方正仿宋_GBK" w:eastAsia="方正仿宋_GBK" w:hAnsi="方正仿宋_GBK" w:cs="方正仿宋_GBK"/>
          <w:sz w:val="28"/>
          <w:szCs w:val="28"/>
        </w:rPr>
      </w:pPr>
    </w:p>
    <w:p w:rsidR="00CC1B37" w:rsidRDefault="004C68C4">
      <w:pP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报价公司：</w:t>
      </w:r>
    </w:p>
    <w:p w:rsidR="00CC1B37" w:rsidRDefault="004C68C4">
      <w:pP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联系方式：</w:t>
      </w:r>
    </w:p>
    <w:p w:rsidR="00CC1B37" w:rsidRDefault="004C68C4">
      <w:pP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日期：</w:t>
      </w:r>
    </w:p>
    <w:p w:rsidR="00CC1B37" w:rsidRDefault="00CC1B37">
      <w:pPr>
        <w:rPr>
          <w:rFonts w:ascii="方正仿宋_GBK" w:eastAsia="方正仿宋_GBK" w:hAnsi="方正仿宋_GBK" w:cs="方正仿宋_GBK"/>
          <w:sz w:val="28"/>
          <w:szCs w:val="28"/>
        </w:rPr>
      </w:pPr>
    </w:p>
    <w:p w:rsidR="00CC1B37" w:rsidRDefault="00CC1B37">
      <w:pPr>
        <w:rPr>
          <w:rFonts w:ascii="方正仿宋_GBK" w:eastAsia="方正仿宋_GBK" w:hAnsi="方正仿宋_GBK" w:cs="方正仿宋_GBK"/>
          <w:sz w:val="28"/>
          <w:szCs w:val="28"/>
        </w:rPr>
      </w:pPr>
    </w:p>
    <w:p w:rsidR="00CC1B37" w:rsidRDefault="00CC1B37">
      <w:pPr>
        <w:sectPr w:rsidR="00CC1B37">
          <w:pgSz w:w="11906" w:h="16838"/>
          <w:pgMar w:top="1440" w:right="1800" w:bottom="1440" w:left="1800" w:header="851" w:footer="992" w:gutter="0"/>
          <w:cols w:space="720"/>
          <w:docGrid w:type="lines" w:linePitch="312"/>
        </w:sectPr>
      </w:pPr>
    </w:p>
    <w:p w:rsidR="00CC1B37" w:rsidRDefault="004C68C4">
      <w:pPr>
        <w:widowControl w:val="0"/>
        <w:adjustRightInd/>
        <w:snapToGrid/>
        <w:spacing w:after="0" w:line="640" w:lineRule="exact"/>
        <w:rPr>
          <w:rFonts w:ascii="方正黑体_GBK" w:eastAsia="方正黑体_GBK" w:hAnsi="方正黑体_GBK" w:cs="方正黑体_GBK"/>
          <w:sz w:val="24"/>
          <w:szCs w:val="24"/>
        </w:rPr>
      </w:pPr>
      <w:r>
        <w:rPr>
          <w:rFonts w:ascii="方正黑体_GBK" w:eastAsia="方正黑体_GBK" w:hAnsi="方正黑体_GBK" w:cs="方正黑体_GBK" w:hint="eastAsia"/>
          <w:sz w:val="24"/>
          <w:szCs w:val="24"/>
        </w:rPr>
        <w:lastRenderedPageBreak/>
        <w:t>附件</w:t>
      </w:r>
    </w:p>
    <w:p w:rsidR="00CC1B37" w:rsidRDefault="004C68C4">
      <w:pPr>
        <w:widowControl w:val="0"/>
        <w:adjustRightInd/>
        <w:snapToGrid/>
        <w:spacing w:after="0" w:line="6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成都市第二人民医院</w:t>
      </w:r>
    </w:p>
    <w:p w:rsidR="00CC1B37" w:rsidRDefault="00604666">
      <w:pPr>
        <w:spacing w:after="0" w:line="360" w:lineRule="auto"/>
        <w:jc w:val="center"/>
        <w:rPr>
          <w:rFonts w:ascii="方正小标宋_GBK" w:eastAsia="方正小标宋_GBK" w:hAnsi="方正小标宋_GBK" w:cs="方正小标宋_GBK"/>
          <w:sz w:val="44"/>
          <w:szCs w:val="44"/>
        </w:rPr>
      </w:pPr>
      <w:r w:rsidRPr="00604666">
        <w:rPr>
          <w:rFonts w:ascii="方正小标宋_GBK" w:eastAsia="方正小标宋_GBK" w:hAnsi="方正小标宋_GBK" w:cs="方正小标宋_GBK" w:hint="eastAsia"/>
          <w:sz w:val="44"/>
          <w:szCs w:val="44"/>
        </w:rPr>
        <w:t>电子病历5级咨询服务</w:t>
      </w:r>
      <w:r>
        <w:rPr>
          <w:rFonts w:ascii="方正小标宋_GBK" w:eastAsia="方正小标宋_GBK" w:hAnsi="方正小标宋_GBK" w:cs="方正小标宋_GBK" w:hint="eastAsia"/>
          <w:sz w:val="44"/>
          <w:szCs w:val="44"/>
        </w:rPr>
        <w:t>内容</w:t>
      </w:r>
    </w:p>
    <w:p w:rsidR="00604666" w:rsidRPr="00604666" w:rsidRDefault="00604666" w:rsidP="00604666">
      <w:pPr>
        <w:pStyle w:val="1"/>
        <w:keepNext w:val="0"/>
        <w:keepLines w:val="0"/>
        <w:widowControl w:val="0"/>
        <w:tabs>
          <w:tab w:val="left" w:pos="425"/>
        </w:tabs>
        <w:adjustRightInd/>
        <w:snapToGrid/>
        <w:spacing w:before="100" w:beforeAutospacing="1" w:after="0" w:afterAutospacing="1" w:line="300" w:lineRule="auto"/>
        <w:ind w:left="425" w:hanging="425"/>
        <w:jc w:val="both"/>
        <w:rPr>
          <w:sz w:val="30"/>
          <w:szCs w:val="30"/>
        </w:rPr>
      </w:pPr>
      <w:bookmarkStart w:id="0" w:name="_Toc10440"/>
      <w:r w:rsidRPr="00604666">
        <w:rPr>
          <w:rFonts w:hint="eastAsia"/>
          <w:sz w:val="30"/>
          <w:szCs w:val="30"/>
        </w:rPr>
        <w:t>项目概述及背景</w:t>
      </w:r>
      <w:bookmarkEnd w:id="0"/>
    </w:p>
    <w:p w:rsidR="00604666" w:rsidRDefault="00604666" w:rsidP="00604666">
      <w:pPr>
        <w:pStyle w:val="ab"/>
        <w:spacing w:after="156" w:line="400" w:lineRule="exact"/>
        <w:ind w:firstLine="480"/>
      </w:pPr>
      <w:r>
        <w:rPr>
          <w:rFonts w:hint="eastAsia"/>
        </w:rPr>
        <w:t>（一）项目概况：本项目一个包，采购电子病历五级测评支持服务商一名。</w:t>
      </w:r>
    </w:p>
    <w:p w:rsidR="00604666" w:rsidRDefault="00604666" w:rsidP="00604666">
      <w:pPr>
        <w:spacing w:before="100" w:beforeAutospacing="1" w:afterAutospacing="1"/>
        <w:ind w:firstLineChars="200" w:firstLine="440"/>
      </w:pPr>
      <w:r>
        <w:rPr>
          <w:rFonts w:hint="eastAsia"/>
        </w:rPr>
        <w:t>（二）项目背景：以电子病历为核心的医院信息化建设是公立医院改革的重要内容之一，为保证我国以电子病历为核心的医院信息化建设工作顺利开展，逐步建立适合我国国情的电子病历系统应用水平评估和持续改进体系，制定本分级评价方法和标准。其核心是针对已实施以电子病历为核心医院信息化建设的各级各类医疗机构，促使其临床信息系统建设和医院信息化发展由收费为中心向以电子病历为中心发生转变。</w:t>
      </w:r>
    </w:p>
    <w:p w:rsidR="00604666" w:rsidRDefault="00604666" w:rsidP="00604666">
      <w:pPr>
        <w:spacing w:before="100" w:beforeAutospacing="1" w:afterAutospacing="1"/>
        <w:ind w:firstLineChars="200" w:firstLine="440"/>
      </w:pPr>
      <w:r>
        <w:rPr>
          <w:rFonts w:hint="eastAsia"/>
        </w:rPr>
        <w:t>主要包含以下三个方面：</w:t>
      </w:r>
    </w:p>
    <w:p w:rsidR="00604666" w:rsidRDefault="00604666" w:rsidP="00604666">
      <w:pPr>
        <w:widowControl w:val="0"/>
        <w:numPr>
          <w:ilvl w:val="0"/>
          <w:numId w:val="2"/>
        </w:numPr>
        <w:spacing w:before="100" w:beforeAutospacing="1" w:after="0" w:afterAutospacing="1" w:line="300" w:lineRule="auto"/>
        <w:jc w:val="both"/>
        <w:rPr>
          <w:rFonts w:ascii="宋体" w:hAnsi="宋体"/>
          <w:color w:val="000000"/>
          <w:szCs w:val="24"/>
        </w:rPr>
      </w:pPr>
      <w:r>
        <w:rPr>
          <w:rFonts w:ascii="宋体" w:hAnsi="宋体" w:hint="eastAsia"/>
          <w:color w:val="000000"/>
          <w:szCs w:val="24"/>
        </w:rPr>
        <w:t>全面评估各医疗机构现阶段电子病历系统应用所达到的水平，建立适合我国国情的电子病历系统应用水平评估和持续改进体系。</w:t>
      </w:r>
    </w:p>
    <w:p w:rsidR="00604666" w:rsidRDefault="00604666" w:rsidP="00604666">
      <w:pPr>
        <w:widowControl w:val="0"/>
        <w:numPr>
          <w:ilvl w:val="0"/>
          <w:numId w:val="2"/>
        </w:numPr>
        <w:spacing w:before="100" w:beforeAutospacing="1" w:after="0" w:afterAutospacing="1" w:line="300" w:lineRule="auto"/>
        <w:jc w:val="both"/>
        <w:rPr>
          <w:rFonts w:ascii="宋体" w:hAnsi="宋体"/>
          <w:color w:val="000000"/>
          <w:szCs w:val="24"/>
        </w:rPr>
      </w:pPr>
      <w:r>
        <w:rPr>
          <w:rFonts w:ascii="宋体" w:hAnsi="宋体" w:hint="eastAsia"/>
          <w:color w:val="000000"/>
          <w:szCs w:val="24"/>
        </w:rPr>
        <w:t>使医疗机构明确电子病历系统各发展阶段应当实现的功能。为各医疗机构提供电子病历系统建设的发展指南，指导医疗机构科学、合理、有序的发展电子病历系统。</w:t>
      </w:r>
    </w:p>
    <w:p w:rsidR="00604666" w:rsidRDefault="00604666" w:rsidP="00604666">
      <w:pPr>
        <w:widowControl w:val="0"/>
        <w:numPr>
          <w:ilvl w:val="0"/>
          <w:numId w:val="2"/>
        </w:numPr>
        <w:spacing w:before="100" w:beforeAutospacing="1" w:after="0" w:afterAutospacing="1" w:line="300" w:lineRule="auto"/>
        <w:jc w:val="both"/>
      </w:pPr>
      <w:r>
        <w:rPr>
          <w:rFonts w:ascii="宋体" w:hAnsi="宋体" w:hint="eastAsia"/>
          <w:color w:val="000000"/>
          <w:szCs w:val="24"/>
        </w:rPr>
        <w:t>引导电子病历系统开发厂商的系统开发朝着功能实用、信息共享、更趋智能化方向发展，使之成为医院提升医疗质量与安全的有力工具。</w:t>
      </w:r>
    </w:p>
    <w:p w:rsidR="00604666" w:rsidRDefault="00604666" w:rsidP="00604666">
      <w:pPr>
        <w:pStyle w:val="ab"/>
        <w:numPr>
          <w:ilvl w:val="0"/>
          <w:numId w:val="3"/>
        </w:numPr>
        <w:spacing w:after="156" w:line="400" w:lineRule="exact"/>
        <w:ind w:firstLine="480"/>
      </w:pPr>
      <w:r>
        <w:rPr>
          <w:rFonts w:hint="eastAsia"/>
        </w:rPr>
        <w:t>采购单位现有系统情况：采购单位的业务系统于</w:t>
      </w:r>
      <w:r>
        <w:rPr>
          <w:rFonts w:hint="eastAsia"/>
        </w:rPr>
        <w:t>2020</w:t>
      </w:r>
      <w:r>
        <w:rPr>
          <w:rFonts w:hint="eastAsia"/>
        </w:rPr>
        <w:t>年投入使用（其中</w:t>
      </w:r>
      <w:r>
        <w:rPr>
          <w:rFonts w:hint="eastAsia"/>
        </w:rPr>
        <w:t>HIS</w:t>
      </w:r>
      <w:r>
        <w:rPr>
          <w:rFonts w:hint="eastAsia"/>
        </w:rPr>
        <w:t>系统、</w:t>
      </w:r>
      <w:r>
        <w:rPr>
          <w:rFonts w:hint="eastAsia"/>
        </w:rPr>
        <w:t>EMR</w:t>
      </w:r>
      <w:r>
        <w:rPr>
          <w:rFonts w:hint="eastAsia"/>
        </w:rPr>
        <w:t>系统、</w:t>
      </w:r>
      <w:r>
        <w:rPr>
          <w:rFonts w:hint="eastAsia"/>
        </w:rPr>
        <w:t>LIS</w:t>
      </w:r>
      <w:r>
        <w:rPr>
          <w:rFonts w:hint="eastAsia"/>
        </w:rPr>
        <w:t>系统、集成平台均使用东华软件股份公司提供产品，</w:t>
      </w:r>
      <w:r>
        <w:rPr>
          <w:rFonts w:hint="eastAsia"/>
        </w:rPr>
        <w:t>PACS</w:t>
      </w:r>
      <w:r>
        <w:rPr>
          <w:rFonts w:hint="eastAsia"/>
        </w:rPr>
        <w:t>系统使用成都成电金盘健康数据技术有限公司提供产品），采用多院区同一数据库模式进行部署，即庆云院区、龙潭院区、草市分部使用一套</w:t>
      </w:r>
      <w:r>
        <w:rPr>
          <w:rFonts w:hint="eastAsia"/>
        </w:rPr>
        <w:t>HIS</w:t>
      </w:r>
      <w:r>
        <w:rPr>
          <w:rFonts w:hint="eastAsia"/>
        </w:rPr>
        <w:t>系统，同一数据库，业务数据进行院区维度区分，基础数据统一维护及分项授权审核。</w:t>
      </w:r>
    </w:p>
    <w:p w:rsidR="00604666" w:rsidRDefault="00604666" w:rsidP="00604666">
      <w:pPr>
        <w:pStyle w:val="ab"/>
        <w:numPr>
          <w:ilvl w:val="0"/>
          <w:numId w:val="3"/>
        </w:numPr>
        <w:spacing w:after="156" w:line="400" w:lineRule="exact"/>
        <w:ind w:firstLine="480"/>
      </w:pPr>
      <w:r>
        <w:rPr>
          <w:rFonts w:hint="eastAsia"/>
        </w:rPr>
        <w:t>项目目标：</w:t>
      </w:r>
      <w:r>
        <w:rPr>
          <w:rFonts w:hint="eastAsia"/>
          <w:b/>
          <w:bCs/>
        </w:rPr>
        <w:t>协助医院达成电子病历</w:t>
      </w:r>
      <w:r>
        <w:rPr>
          <w:rFonts w:hint="eastAsia"/>
          <w:b/>
          <w:bCs/>
        </w:rPr>
        <w:t>5</w:t>
      </w:r>
      <w:r>
        <w:rPr>
          <w:rFonts w:hint="eastAsia"/>
          <w:b/>
          <w:bCs/>
        </w:rPr>
        <w:t>级：统一数据管理，各部门系统</w:t>
      </w:r>
      <w:r>
        <w:rPr>
          <w:rFonts w:hint="eastAsia"/>
          <w:b/>
          <w:bCs/>
        </w:rPr>
        <w:lastRenderedPageBreak/>
        <w:t>数据集成。</w:t>
      </w:r>
    </w:p>
    <w:p w:rsidR="00604666" w:rsidRDefault="00604666" w:rsidP="00604666">
      <w:pPr>
        <w:spacing w:after="120"/>
        <w:ind w:firstLineChars="275" w:firstLine="605"/>
      </w:pPr>
      <w:r>
        <w:rPr>
          <w:rFonts w:hint="eastAsia"/>
        </w:rPr>
        <w:t>（</w:t>
      </w:r>
      <w:r>
        <w:rPr>
          <w:rFonts w:hint="eastAsia"/>
        </w:rPr>
        <w:t>1</w:t>
      </w:r>
      <w:r>
        <w:rPr>
          <w:rFonts w:hint="eastAsia"/>
        </w:rPr>
        <w:t>）局部要求：各部门系统数据由统一的临床数据管理系统进行管理。各知识库信息能够共享。信息系统为所有业务流程提供决策信息。</w:t>
      </w:r>
    </w:p>
    <w:p w:rsidR="00604666" w:rsidRDefault="00604666" w:rsidP="00604666">
      <w:pPr>
        <w:spacing w:after="120"/>
        <w:ind w:firstLineChars="275" w:firstLine="605"/>
      </w:pPr>
      <w:r>
        <w:rPr>
          <w:rFonts w:hint="eastAsia"/>
        </w:rPr>
        <w:t>（</w:t>
      </w:r>
      <w:r>
        <w:rPr>
          <w:rFonts w:hint="eastAsia"/>
        </w:rPr>
        <w:t>2</w:t>
      </w:r>
      <w:r>
        <w:rPr>
          <w:rFonts w:hint="eastAsia"/>
        </w:rPr>
        <w:t>）总体要求：</w:t>
      </w:r>
    </w:p>
    <w:p w:rsidR="00604666" w:rsidRDefault="00604666" w:rsidP="00CA12C4">
      <w:pPr>
        <w:widowControl w:val="0"/>
        <w:numPr>
          <w:ilvl w:val="0"/>
          <w:numId w:val="4"/>
        </w:numPr>
        <w:adjustRightInd/>
        <w:snapToGrid/>
        <w:spacing w:afterLines="50" w:line="300" w:lineRule="auto"/>
        <w:jc w:val="both"/>
      </w:pPr>
      <w:r>
        <w:rPr>
          <w:rFonts w:hint="eastAsia"/>
        </w:rPr>
        <w:t>全院形成统一的临床数据管理系统，实现各部门系统数据的集成。</w:t>
      </w:r>
    </w:p>
    <w:p w:rsidR="00604666" w:rsidRDefault="00604666" w:rsidP="00CA12C4">
      <w:pPr>
        <w:widowControl w:val="0"/>
        <w:numPr>
          <w:ilvl w:val="0"/>
          <w:numId w:val="4"/>
        </w:numPr>
        <w:adjustRightInd/>
        <w:snapToGrid/>
        <w:spacing w:afterLines="50" w:line="300" w:lineRule="auto"/>
        <w:jc w:val="both"/>
      </w:pPr>
      <w:r>
        <w:rPr>
          <w:rFonts w:hint="eastAsia"/>
        </w:rPr>
        <w:t>实现临床路径管理与医嘱下达、执行的紧密结合。</w:t>
      </w:r>
    </w:p>
    <w:p w:rsidR="00604666" w:rsidRDefault="00604666" w:rsidP="00604666">
      <w:pPr>
        <w:pStyle w:val="ab"/>
        <w:numPr>
          <w:ilvl w:val="0"/>
          <w:numId w:val="4"/>
        </w:numPr>
        <w:spacing w:after="156" w:line="400" w:lineRule="exact"/>
        <w:ind w:firstLineChars="0"/>
      </w:pPr>
      <w:r>
        <w:rPr>
          <w:rFonts w:hint="eastAsia"/>
        </w:rPr>
        <w:t>电子病历数据库能够为临床科研工作提供数据挖掘功能。</w:t>
      </w:r>
    </w:p>
    <w:p w:rsidR="00604666" w:rsidRDefault="00604666" w:rsidP="00604666">
      <w:pPr>
        <w:pStyle w:val="ab"/>
        <w:numPr>
          <w:ilvl w:val="0"/>
          <w:numId w:val="4"/>
        </w:numPr>
        <w:spacing w:after="156" w:line="400" w:lineRule="exact"/>
        <w:ind w:firstLineChars="0"/>
      </w:pPr>
      <w:r>
        <w:rPr>
          <w:rFonts w:hint="eastAsia"/>
        </w:rPr>
        <w:t>按照制订的培训计划，安排专人现场完成迎检人员的培训、考核。现场支持人员不少于</w:t>
      </w:r>
      <w:r>
        <w:rPr>
          <w:rFonts w:hint="eastAsia"/>
        </w:rPr>
        <w:t>2</w:t>
      </w:r>
      <w:r>
        <w:rPr>
          <w:rFonts w:hint="eastAsia"/>
        </w:rPr>
        <w:t>人，总工作时长不低于</w:t>
      </w:r>
      <w:r>
        <w:rPr>
          <w:rFonts w:hint="eastAsia"/>
        </w:rPr>
        <w:t>30</w:t>
      </w:r>
      <w:r>
        <w:rPr>
          <w:rFonts w:hint="eastAsia"/>
        </w:rPr>
        <w:t>人日。</w:t>
      </w:r>
    </w:p>
    <w:p w:rsidR="00604666" w:rsidRDefault="00604666" w:rsidP="00604666">
      <w:pPr>
        <w:pStyle w:val="ab"/>
        <w:spacing w:after="156" w:line="400" w:lineRule="exact"/>
        <w:ind w:firstLineChars="0" w:firstLine="0"/>
      </w:pPr>
    </w:p>
    <w:p w:rsidR="00604666" w:rsidRDefault="00604666" w:rsidP="00604666">
      <w:pPr>
        <w:pStyle w:val="1"/>
        <w:keepNext w:val="0"/>
        <w:keepLines w:val="0"/>
        <w:widowControl w:val="0"/>
        <w:tabs>
          <w:tab w:val="left" w:pos="425"/>
        </w:tabs>
        <w:adjustRightInd/>
        <w:snapToGrid/>
        <w:spacing w:before="100" w:beforeAutospacing="1" w:after="0" w:afterAutospacing="1" w:line="300" w:lineRule="auto"/>
        <w:ind w:left="425" w:hanging="425"/>
        <w:jc w:val="both"/>
        <w:rPr>
          <w:sz w:val="30"/>
          <w:szCs w:val="30"/>
        </w:rPr>
      </w:pPr>
      <w:bookmarkStart w:id="1" w:name="_Toc12541"/>
      <w:r w:rsidRPr="00604666">
        <w:rPr>
          <w:rFonts w:hint="eastAsia"/>
          <w:sz w:val="30"/>
          <w:szCs w:val="30"/>
        </w:rPr>
        <w:t>咨询服务内容</w:t>
      </w:r>
      <w:bookmarkStart w:id="2" w:name="_Toc25018"/>
      <w:bookmarkEnd w:id="1"/>
    </w:p>
    <w:p w:rsidR="00604666" w:rsidRPr="00604666" w:rsidRDefault="00604666" w:rsidP="00604666">
      <w:pPr>
        <w:pStyle w:val="1"/>
        <w:keepNext w:val="0"/>
        <w:keepLines w:val="0"/>
        <w:widowControl w:val="0"/>
        <w:tabs>
          <w:tab w:val="left" w:pos="425"/>
        </w:tabs>
        <w:adjustRightInd/>
        <w:snapToGrid/>
        <w:spacing w:before="100" w:beforeAutospacing="1" w:after="0" w:afterAutospacing="1" w:line="300" w:lineRule="auto"/>
        <w:ind w:left="425" w:hanging="425"/>
        <w:jc w:val="both"/>
        <w:rPr>
          <w:rFonts w:ascii="宋体" w:hAnsi="宋体"/>
          <w:b w:val="0"/>
          <w:kern w:val="0"/>
          <w:sz w:val="22"/>
        </w:rPr>
      </w:pPr>
      <w:r w:rsidRPr="00604666">
        <w:rPr>
          <w:rFonts w:ascii="宋体" w:hAnsi="宋体" w:hint="eastAsia"/>
          <w:b w:val="0"/>
          <w:kern w:val="0"/>
          <w:sz w:val="22"/>
        </w:rPr>
        <w:t>一、项目差距调研分析评估服务</w:t>
      </w:r>
      <w:bookmarkEnd w:id="2"/>
    </w:p>
    <w:p w:rsidR="00604666" w:rsidRDefault="00604666" w:rsidP="00604666">
      <w:pPr>
        <w:spacing w:after="120" w:line="360" w:lineRule="auto"/>
        <w:ind w:firstLineChars="200" w:firstLine="440"/>
        <w:rPr>
          <w:rFonts w:ascii="宋体" w:hAnsi="宋体"/>
        </w:rPr>
      </w:pPr>
      <w:r>
        <w:rPr>
          <w:rFonts w:ascii="宋体" w:hAnsi="宋体" w:hint="eastAsia"/>
        </w:rPr>
        <w:t>在按相关标准进行医院信息系统建设之后，遵照《电子病历系统功能应用水平分级评价方法及标准（</w:t>
      </w:r>
      <w:r>
        <w:rPr>
          <w:rFonts w:ascii="宋体" w:hAnsi="宋体" w:hint="eastAsia"/>
        </w:rPr>
        <w:t>2018</w:t>
      </w:r>
      <w:r>
        <w:rPr>
          <w:rFonts w:ascii="宋体" w:hAnsi="宋体" w:hint="eastAsia"/>
        </w:rPr>
        <w:t>版）》的要求开展电子病历评级差异化调研工作。</w:t>
      </w:r>
    </w:p>
    <w:p w:rsidR="00604666" w:rsidRDefault="00604666" w:rsidP="00604666">
      <w:pPr>
        <w:spacing w:after="120" w:line="360" w:lineRule="auto"/>
        <w:ind w:firstLineChars="200" w:firstLine="440"/>
        <w:rPr>
          <w:rFonts w:ascii="宋体" w:hAnsi="宋体"/>
        </w:rPr>
      </w:pPr>
      <w:r>
        <w:rPr>
          <w:rFonts w:ascii="宋体" w:hAnsi="宋体" w:hint="eastAsia"/>
        </w:rPr>
        <w:t>对医院信息系统功能、数据质量等与测评标准进行差异化分析，整理不符合标准的评分项，缺漏的功能和缺失的应用明细，指导进行改造。</w:t>
      </w:r>
    </w:p>
    <w:p w:rsidR="00604666" w:rsidRDefault="00604666" w:rsidP="00604666">
      <w:pPr>
        <w:spacing w:after="120" w:line="360" w:lineRule="auto"/>
        <w:ind w:firstLineChars="200" w:firstLine="440"/>
        <w:rPr>
          <w:rFonts w:ascii="宋体" w:hAnsi="宋体"/>
        </w:rPr>
      </w:pPr>
      <w:r>
        <w:rPr>
          <w:rFonts w:ascii="宋体" w:hAnsi="宋体" w:hint="eastAsia"/>
        </w:rPr>
        <w:t>在整个建设过程中，需要定期进行多次的项目差距调研分析评估，以保证建设</w:t>
      </w:r>
      <w:r>
        <w:rPr>
          <w:rFonts w:ascii="宋体" w:hAnsi="宋体" w:hint="eastAsia"/>
        </w:rPr>
        <w:t>\</w:t>
      </w:r>
      <w:r>
        <w:rPr>
          <w:rFonts w:ascii="宋体" w:hAnsi="宋体" w:hint="eastAsia"/>
        </w:rPr>
        <w:t>改造工作的完整性。</w:t>
      </w:r>
      <w:bookmarkStart w:id="3" w:name="_Toc16095"/>
    </w:p>
    <w:p w:rsidR="00604666" w:rsidRPr="00604666" w:rsidRDefault="00604666" w:rsidP="00604666">
      <w:pPr>
        <w:spacing w:after="120" w:line="360" w:lineRule="auto"/>
        <w:rPr>
          <w:rFonts w:ascii="宋体" w:hAnsi="宋体"/>
        </w:rPr>
      </w:pPr>
      <w:r w:rsidRPr="00604666">
        <w:rPr>
          <w:rFonts w:ascii="宋体" w:hAnsi="宋体" w:hint="eastAsia"/>
        </w:rPr>
        <w:t>二、申报材料整理的指导和准备</w:t>
      </w:r>
      <w:bookmarkEnd w:id="3"/>
    </w:p>
    <w:p w:rsidR="00604666" w:rsidRDefault="00604666" w:rsidP="00604666">
      <w:pPr>
        <w:spacing w:after="120" w:line="360" w:lineRule="auto"/>
        <w:ind w:firstLineChars="200" w:firstLine="440"/>
        <w:rPr>
          <w:rFonts w:ascii="宋体" w:hAnsi="宋体"/>
        </w:rPr>
      </w:pPr>
      <w:r>
        <w:rPr>
          <w:rFonts w:ascii="宋体" w:hAnsi="宋体" w:hint="eastAsia"/>
        </w:rPr>
        <w:t>指导医院自查各项功能，并提供相关实证材料。</w:t>
      </w:r>
    </w:p>
    <w:p w:rsidR="00604666" w:rsidRDefault="00604666" w:rsidP="00604666">
      <w:pPr>
        <w:spacing w:after="120" w:line="360" w:lineRule="auto"/>
        <w:ind w:firstLineChars="200" w:firstLine="440"/>
        <w:rPr>
          <w:rFonts w:ascii="宋体" w:hAnsi="宋体"/>
        </w:rPr>
      </w:pPr>
      <w:r>
        <w:rPr>
          <w:rFonts w:ascii="宋体" w:hAnsi="宋体" w:hint="eastAsia"/>
        </w:rPr>
        <w:t>实证内容包括但不限于：系统截屏、统计数据、方案说明与场景描述。</w:t>
      </w:r>
      <w:bookmarkStart w:id="4" w:name="_Toc14094"/>
    </w:p>
    <w:p w:rsidR="00604666" w:rsidRPr="00604666" w:rsidRDefault="00604666" w:rsidP="00604666">
      <w:pPr>
        <w:spacing w:after="120" w:line="360" w:lineRule="auto"/>
        <w:rPr>
          <w:rFonts w:ascii="宋体" w:hAnsi="宋体"/>
        </w:rPr>
      </w:pPr>
      <w:r w:rsidRPr="00604666">
        <w:rPr>
          <w:rFonts w:ascii="宋体" w:hAnsi="宋体" w:hint="eastAsia"/>
        </w:rPr>
        <w:t>三、数据质量评估服务</w:t>
      </w:r>
      <w:bookmarkEnd w:id="4"/>
    </w:p>
    <w:p w:rsidR="00604666" w:rsidRDefault="00604666" w:rsidP="00604666">
      <w:pPr>
        <w:spacing w:after="120" w:line="360" w:lineRule="auto"/>
        <w:ind w:firstLineChars="200" w:firstLine="440"/>
        <w:rPr>
          <w:rFonts w:ascii="宋体" w:hAnsi="宋体"/>
        </w:rPr>
      </w:pPr>
      <w:r>
        <w:rPr>
          <w:rFonts w:ascii="宋体" w:hAnsi="宋体" w:hint="eastAsia"/>
        </w:rPr>
        <w:lastRenderedPageBreak/>
        <w:t>根据《电子病历系统应用水平分级评价方法及标准（</w:t>
      </w:r>
      <w:r>
        <w:rPr>
          <w:rFonts w:ascii="宋体" w:hAnsi="宋体" w:hint="eastAsia"/>
        </w:rPr>
        <w:t>2018</w:t>
      </w:r>
      <w:r>
        <w:rPr>
          <w:rFonts w:ascii="宋体" w:hAnsi="宋体" w:hint="eastAsia"/>
        </w:rPr>
        <w:t>版）》的“数据质量”要求，通过数据质量管理工具对数据的标准化和符合度的一致性、各字段和内容的完整性、系统间关联的整合性、与医疗行为的逻辑合理性和符合度的准确性进行统一的管理。其中电子病历</w:t>
      </w:r>
      <w:r>
        <w:rPr>
          <w:rFonts w:ascii="宋体" w:hAnsi="宋体" w:hint="eastAsia"/>
        </w:rPr>
        <w:t>5</w:t>
      </w:r>
      <w:r>
        <w:rPr>
          <w:rFonts w:ascii="宋体" w:hAnsi="宋体" w:hint="eastAsia"/>
        </w:rPr>
        <w:t>级重点关注一致性、完整性、整合性三个方面。</w:t>
      </w:r>
      <w:r>
        <w:rPr>
          <w:rFonts w:ascii="宋体" w:hAnsi="宋体" w:hint="eastAsia"/>
        </w:rPr>
        <w:t xml:space="preserve">  </w:t>
      </w:r>
    </w:p>
    <w:p w:rsidR="00604666" w:rsidRDefault="00604666" w:rsidP="00604666">
      <w:pPr>
        <w:spacing w:after="120" w:line="360" w:lineRule="auto"/>
        <w:ind w:firstLineChars="200" w:firstLine="440"/>
        <w:rPr>
          <w:rFonts w:ascii="宋体" w:hAnsi="宋体"/>
        </w:rPr>
      </w:pPr>
      <w:r>
        <w:rPr>
          <w:rFonts w:ascii="宋体" w:hAnsi="宋体" w:hint="eastAsia"/>
        </w:rPr>
        <w:t>通过数据质量工具，实现对上报数据质量的智能评估，以评估电子病历评级对数据质量的要求，数据质量评估包括数据一致性、数据完整性、数据整合性和数据及时性。</w:t>
      </w:r>
    </w:p>
    <w:p w:rsidR="00604666" w:rsidRDefault="00604666" w:rsidP="00604666">
      <w:pPr>
        <w:spacing w:after="120" w:line="360" w:lineRule="auto"/>
        <w:ind w:firstLineChars="200" w:firstLine="440"/>
        <w:rPr>
          <w:rFonts w:ascii="宋体" w:hAnsi="宋体"/>
        </w:rPr>
      </w:pPr>
      <w:r>
        <w:rPr>
          <w:rFonts w:ascii="宋体" w:hAnsi="宋体" w:hint="eastAsia"/>
        </w:rPr>
        <w:t>1</w:t>
      </w:r>
      <w:r>
        <w:rPr>
          <w:rFonts w:ascii="宋体" w:hAnsi="宋体" w:hint="eastAsia"/>
        </w:rPr>
        <w:t>、支持数据源管理，实现对上报数据质量的采集；</w:t>
      </w:r>
    </w:p>
    <w:p w:rsidR="00604666" w:rsidRDefault="00604666" w:rsidP="00604666">
      <w:pPr>
        <w:spacing w:after="120" w:line="360" w:lineRule="auto"/>
        <w:ind w:firstLineChars="200" w:firstLine="440"/>
        <w:rPr>
          <w:rFonts w:ascii="宋体" w:hAnsi="宋体"/>
        </w:rPr>
      </w:pPr>
      <w:r>
        <w:rPr>
          <w:rFonts w:ascii="宋体" w:hAnsi="宋体" w:hint="eastAsia"/>
        </w:rPr>
        <w:t>2</w:t>
      </w:r>
      <w:r>
        <w:rPr>
          <w:rFonts w:ascii="宋体" w:hAnsi="宋体" w:hint="eastAsia"/>
        </w:rPr>
        <w:t>、支持生成数据质量统计</w:t>
      </w:r>
      <w:r>
        <w:rPr>
          <w:rFonts w:ascii="宋体" w:hAnsi="宋体" w:hint="eastAsia"/>
        </w:rPr>
        <w:t>sql</w:t>
      </w:r>
      <w:r>
        <w:rPr>
          <w:rFonts w:ascii="宋体" w:hAnsi="宋体" w:hint="eastAsia"/>
        </w:rPr>
        <w:t>，支持</w:t>
      </w:r>
      <w:r>
        <w:rPr>
          <w:rFonts w:ascii="宋体" w:hAnsi="宋体" w:hint="eastAsia"/>
        </w:rPr>
        <w:t>sql</w:t>
      </w:r>
      <w:r>
        <w:rPr>
          <w:rFonts w:ascii="宋体" w:hAnsi="宋体" w:hint="eastAsia"/>
        </w:rPr>
        <w:t>生成后导出，可直接作为电子病历评级数据质量上报内容；</w:t>
      </w:r>
    </w:p>
    <w:p w:rsidR="00604666" w:rsidRPr="00604666" w:rsidRDefault="00604666" w:rsidP="00CA12C4">
      <w:pPr>
        <w:pStyle w:val="2"/>
        <w:keepNext w:val="0"/>
        <w:keepLines w:val="0"/>
        <w:widowControl w:val="0"/>
        <w:numPr>
          <w:ilvl w:val="1"/>
          <w:numId w:val="0"/>
        </w:numPr>
        <w:tabs>
          <w:tab w:val="left" w:pos="425"/>
          <w:tab w:val="left" w:pos="709"/>
        </w:tabs>
        <w:adjustRightInd/>
        <w:snapToGrid/>
        <w:spacing w:beforeLines="100" w:afterLines="100" w:line="300" w:lineRule="auto"/>
        <w:ind w:left="567" w:hanging="567"/>
        <w:jc w:val="both"/>
        <w:rPr>
          <w:rFonts w:ascii="宋体" w:eastAsia="微软雅黑" w:hAnsi="宋体" w:cs="Times New Roman"/>
          <w:b w:val="0"/>
          <w:bCs w:val="0"/>
          <w:sz w:val="22"/>
          <w:szCs w:val="22"/>
        </w:rPr>
      </w:pPr>
      <w:bookmarkStart w:id="5" w:name="_Toc18076"/>
      <w:r w:rsidRPr="00604666">
        <w:rPr>
          <w:rFonts w:ascii="宋体" w:eastAsia="微软雅黑" w:hAnsi="宋体" w:cs="Times New Roman" w:hint="eastAsia"/>
          <w:b w:val="0"/>
          <w:bCs w:val="0"/>
          <w:sz w:val="22"/>
          <w:szCs w:val="22"/>
        </w:rPr>
        <w:t>四、完善生产库和数据中心版数据质量查询语句和并完成近三个月的数据质量查询。</w:t>
      </w:r>
      <w:bookmarkEnd w:id="5"/>
    </w:p>
    <w:p w:rsidR="00604666" w:rsidRPr="00604666" w:rsidRDefault="00604666" w:rsidP="00604666">
      <w:pPr>
        <w:spacing w:after="120"/>
        <w:ind w:firstLineChars="200" w:firstLine="440"/>
        <w:rPr>
          <w:rFonts w:ascii="宋体" w:hAnsi="宋体"/>
        </w:rPr>
      </w:pPr>
      <w:r w:rsidRPr="00604666">
        <w:rPr>
          <w:rFonts w:ascii="宋体" w:hAnsi="宋体" w:hint="eastAsia"/>
        </w:rPr>
        <w:t>并对信息科工作人员就查询语句进行培训、答疑，在现场评审阶段，进行现场支持。</w:t>
      </w:r>
    </w:p>
    <w:p w:rsidR="00604666" w:rsidRPr="00604666" w:rsidRDefault="00604666" w:rsidP="00CA12C4">
      <w:pPr>
        <w:pStyle w:val="2"/>
        <w:keepNext w:val="0"/>
        <w:keepLines w:val="0"/>
        <w:widowControl w:val="0"/>
        <w:numPr>
          <w:ilvl w:val="1"/>
          <w:numId w:val="0"/>
        </w:numPr>
        <w:tabs>
          <w:tab w:val="left" w:pos="709"/>
        </w:tabs>
        <w:adjustRightInd/>
        <w:snapToGrid/>
        <w:spacing w:beforeLines="100" w:afterLines="100" w:line="300" w:lineRule="auto"/>
        <w:ind w:left="519" w:hangingChars="236" w:hanging="519"/>
        <w:jc w:val="both"/>
        <w:rPr>
          <w:rFonts w:ascii="宋体" w:eastAsia="微软雅黑" w:hAnsi="宋体" w:cs="Times New Roman"/>
          <w:b w:val="0"/>
          <w:bCs w:val="0"/>
          <w:sz w:val="22"/>
          <w:szCs w:val="22"/>
        </w:rPr>
      </w:pPr>
      <w:bookmarkStart w:id="6" w:name="_Toc31446"/>
      <w:r w:rsidRPr="00604666">
        <w:rPr>
          <w:rFonts w:ascii="宋体" w:eastAsia="微软雅黑" w:hAnsi="宋体" w:cs="Times New Roman" w:hint="eastAsia"/>
          <w:b w:val="0"/>
          <w:bCs w:val="0"/>
          <w:sz w:val="22"/>
          <w:szCs w:val="22"/>
        </w:rPr>
        <w:t>五、文审答辩支持</w:t>
      </w:r>
      <w:bookmarkEnd w:id="6"/>
    </w:p>
    <w:p w:rsidR="00604666" w:rsidRDefault="00604666" w:rsidP="00604666">
      <w:pPr>
        <w:spacing w:after="120" w:line="360" w:lineRule="auto"/>
        <w:ind w:firstLineChars="200" w:firstLine="440"/>
        <w:rPr>
          <w:rFonts w:ascii="宋体" w:hAnsi="宋体"/>
        </w:rPr>
      </w:pPr>
      <w:r>
        <w:rPr>
          <w:rFonts w:ascii="宋体" w:hAnsi="宋体" w:hint="eastAsia"/>
        </w:rPr>
        <w:t>整理文审所需材料，配合进行文审工作准备证明材料文件；在文审现场提供支持服务。</w:t>
      </w:r>
    </w:p>
    <w:p w:rsidR="00604666" w:rsidRPr="00604666" w:rsidRDefault="00604666" w:rsidP="00CA12C4">
      <w:pPr>
        <w:pStyle w:val="2"/>
        <w:keepNext w:val="0"/>
        <w:keepLines w:val="0"/>
        <w:widowControl w:val="0"/>
        <w:numPr>
          <w:ilvl w:val="1"/>
          <w:numId w:val="0"/>
        </w:numPr>
        <w:tabs>
          <w:tab w:val="left" w:pos="709"/>
        </w:tabs>
        <w:adjustRightInd/>
        <w:snapToGrid/>
        <w:spacing w:beforeLines="100" w:afterLines="100" w:line="300" w:lineRule="auto"/>
        <w:ind w:left="519" w:hangingChars="236" w:hanging="519"/>
        <w:jc w:val="both"/>
        <w:rPr>
          <w:rFonts w:ascii="宋体" w:eastAsia="微软雅黑" w:hAnsi="宋体" w:cs="Times New Roman"/>
          <w:b w:val="0"/>
          <w:bCs w:val="0"/>
          <w:sz w:val="22"/>
          <w:szCs w:val="22"/>
        </w:rPr>
      </w:pPr>
      <w:bookmarkStart w:id="7" w:name="_Toc5098"/>
      <w:r w:rsidRPr="00604666">
        <w:rPr>
          <w:rFonts w:ascii="宋体" w:eastAsia="微软雅黑" w:hAnsi="宋体" w:cs="Times New Roman" w:hint="eastAsia"/>
          <w:b w:val="0"/>
          <w:bCs w:val="0"/>
          <w:sz w:val="22"/>
          <w:szCs w:val="22"/>
        </w:rPr>
        <w:t>六、现场测评支持服务</w:t>
      </w:r>
      <w:bookmarkEnd w:id="7"/>
    </w:p>
    <w:p w:rsidR="00604666" w:rsidRDefault="00604666" w:rsidP="00604666">
      <w:pPr>
        <w:spacing w:after="120" w:line="360" w:lineRule="auto"/>
        <w:ind w:firstLineChars="200" w:firstLine="440"/>
        <w:rPr>
          <w:rFonts w:ascii="宋体" w:hAnsi="宋体"/>
        </w:rPr>
      </w:pPr>
      <w:r>
        <w:rPr>
          <w:rFonts w:ascii="宋体" w:hAnsi="宋体" w:hint="eastAsia"/>
        </w:rPr>
        <w:t>在现场测评过程中，提供编制汇报材料、制定测评路线、模拟测评演练、专家疑问答疑等服务。</w:t>
      </w:r>
    </w:p>
    <w:p w:rsidR="00CC1B37" w:rsidRPr="00604666" w:rsidRDefault="00CC1B37">
      <w:pPr>
        <w:pStyle w:val="a9"/>
      </w:pPr>
    </w:p>
    <w:sectPr w:rsidR="00CC1B37" w:rsidRPr="00604666" w:rsidSect="00CC1B3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7F2F" w:rsidRDefault="00C47F2F" w:rsidP="00CC1B37">
      <w:pPr>
        <w:spacing w:after="0"/>
      </w:pPr>
      <w:r>
        <w:separator/>
      </w:r>
    </w:p>
  </w:endnote>
  <w:endnote w:type="continuationSeparator" w:id="1">
    <w:p w:rsidR="00C47F2F" w:rsidRDefault="00C47F2F" w:rsidP="00CC1B3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E0000" w:usb2="00000000" w:usb3="00000000" w:csb0="00040000" w:csb1="00000000"/>
  </w:font>
  <w:font w:name="方正仿宋_GBK">
    <w:altName w:val="Arial Unicode MS"/>
    <w:charset w:val="86"/>
    <w:family w:val="script"/>
    <w:pitch w:val="default"/>
    <w:sig w:usb0="00000000" w:usb1="080E0000" w:usb2="00000000" w:usb3="00000000" w:csb0="00040000" w:csb1="00000000"/>
  </w:font>
  <w:font w:name="方正黑体_GBK">
    <w:altName w:val="Arial Unicode MS"/>
    <w:charset w:val="86"/>
    <w:family w:val="script"/>
    <w:pitch w:val="default"/>
    <w:sig w:usb0="00000000"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7F2F" w:rsidRDefault="00C47F2F">
      <w:pPr>
        <w:spacing w:after="0"/>
      </w:pPr>
      <w:r>
        <w:separator/>
      </w:r>
    </w:p>
  </w:footnote>
  <w:footnote w:type="continuationSeparator" w:id="1">
    <w:p w:rsidR="00C47F2F" w:rsidRDefault="00C47F2F">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ADD6F8F"/>
    <w:multiLevelType w:val="singleLevel"/>
    <w:tmpl w:val="BADD6F8F"/>
    <w:lvl w:ilvl="0">
      <w:start w:val="3"/>
      <w:numFmt w:val="chineseCounting"/>
      <w:suff w:val="nothing"/>
      <w:lvlText w:val="（%1）"/>
      <w:lvlJc w:val="left"/>
      <w:rPr>
        <w:rFonts w:hint="eastAsia"/>
      </w:rPr>
    </w:lvl>
  </w:abstractNum>
  <w:abstractNum w:abstractNumId="1">
    <w:nsid w:val="CCC399F9"/>
    <w:multiLevelType w:val="singleLevel"/>
    <w:tmpl w:val="CCC399F9"/>
    <w:lvl w:ilvl="0">
      <w:start w:val="1"/>
      <w:numFmt w:val="bullet"/>
      <w:lvlText w:val=""/>
      <w:lvlJc w:val="left"/>
      <w:pPr>
        <w:tabs>
          <w:tab w:val="left" w:pos="420"/>
        </w:tabs>
        <w:ind w:left="840" w:hanging="420"/>
      </w:pPr>
      <w:rPr>
        <w:rFonts w:ascii="Wingdings" w:hAnsi="Wingdings" w:hint="default"/>
      </w:rPr>
    </w:lvl>
  </w:abstractNum>
  <w:abstractNum w:abstractNumId="2">
    <w:nsid w:val="3EBB3C91"/>
    <w:multiLevelType w:val="multilevel"/>
    <w:tmpl w:val="3EBB3C9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lvl>
    <w:lvl w:ilvl="3">
      <w:numFmt w:val="none"/>
      <w:lvlText w:val=""/>
      <w:lvlJc w:val="left"/>
      <w:pPr>
        <w:tabs>
          <w:tab w:val="left" w:pos="360"/>
        </w:tabs>
      </w:pPr>
    </w:lvl>
    <w:lvl w:ilvl="4">
      <w:numFmt w:val="decimal"/>
      <w:pStyle w:val="5"/>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2B62262"/>
    <w:multiLevelType w:val="singleLevel"/>
    <w:tmpl w:val="62B62262"/>
    <w:lvl w:ilvl="0">
      <w:start w:val="1"/>
      <w:numFmt w:val="bullet"/>
      <w:lvlText w:val=""/>
      <w:lvlJc w:val="left"/>
      <w:pPr>
        <w:tabs>
          <w:tab w:val="left" w:pos="420"/>
        </w:tabs>
        <w:ind w:left="840"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Windows Live" w15:userId="d03bb360da76e4d1"/>
  </w15:person>
  <w15:person w15:author="陈柯岚">
    <w15:presenceInfo w15:providerId="WPS Office" w15:userId="206431301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zFlMjMwZGJkMDk0NjRmNTA4MmJkNjU5M2Y3ZjRhZmEifQ=="/>
  </w:docVars>
  <w:rsids>
    <w:rsidRoot w:val="77E56DC4"/>
    <w:rsid w:val="002173ED"/>
    <w:rsid w:val="003E4905"/>
    <w:rsid w:val="00494410"/>
    <w:rsid w:val="004C68C4"/>
    <w:rsid w:val="005634C0"/>
    <w:rsid w:val="00604666"/>
    <w:rsid w:val="007A0AB3"/>
    <w:rsid w:val="009726D1"/>
    <w:rsid w:val="00C413F6"/>
    <w:rsid w:val="00C47F2F"/>
    <w:rsid w:val="00CA12C4"/>
    <w:rsid w:val="00CC1B37"/>
    <w:rsid w:val="00E4573B"/>
    <w:rsid w:val="01DF1ADE"/>
    <w:rsid w:val="0DAA0079"/>
    <w:rsid w:val="10C763EA"/>
    <w:rsid w:val="15B12FCF"/>
    <w:rsid w:val="218E5E5B"/>
    <w:rsid w:val="24117BB9"/>
    <w:rsid w:val="4BCD3799"/>
    <w:rsid w:val="4C6B4F7E"/>
    <w:rsid w:val="4EA0220D"/>
    <w:rsid w:val="75113A35"/>
    <w:rsid w:val="77E56DC4"/>
    <w:rsid w:val="7A087BA6"/>
    <w:rsid w:val="7AD60C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99"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C1B37"/>
    <w:pPr>
      <w:adjustRightInd w:val="0"/>
      <w:snapToGrid w:val="0"/>
      <w:spacing w:after="200"/>
    </w:pPr>
    <w:rPr>
      <w:rFonts w:ascii="Tahoma" w:eastAsia="微软雅黑" w:hAnsi="Tahoma"/>
      <w:sz w:val="22"/>
      <w:szCs w:val="22"/>
    </w:rPr>
  </w:style>
  <w:style w:type="paragraph" w:styleId="1">
    <w:name w:val="heading 1"/>
    <w:basedOn w:val="a"/>
    <w:next w:val="a"/>
    <w:link w:val="1Char"/>
    <w:uiPriority w:val="9"/>
    <w:qFormat/>
    <w:rsid w:val="00CC1B37"/>
    <w:pPr>
      <w:keepNext/>
      <w:keepLines/>
      <w:spacing w:before="340" w:after="330" w:line="576" w:lineRule="auto"/>
      <w:outlineLvl w:val="0"/>
    </w:pPr>
    <w:rPr>
      <w:b/>
      <w:kern w:val="44"/>
      <w:sz w:val="44"/>
    </w:rPr>
  </w:style>
  <w:style w:type="paragraph" w:styleId="2">
    <w:name w:val="heading 2"/>
    <w:basedOn w:val="a"/>
    <w:next w:val="a"/>
    <w:link w:val="2Char"/>
    <w:semiHidden/>
    <w:unhideWhenUsed/>
    <w:qFormat/>
    <w:rsid w:val="0060466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qFormat/>
    <w:rsid w:val="00CC1B37"/>
    <w:pPr>
      <w:spacing w:after="120"/>
    </w:pPr>
  </w:style>
  <w:style w:type="paragraph" w:styleId="a4">
    <w:name w:val="Balloon Text"/>
    <w:basedOn w:val="a"/>
    <w:link w:val="Char"/>
    <w:qFormat/>
    <w:rsid w:val="00CC1B37"/>
    <w:pPr>
      <w:spacing w:after="0"/>
    </w:pPr>
    <w:rPr>
      <w:sz w:val="18"/>
      <w:szCs w:val="18"/>
    </w:rPr>
  </w:style>
  <w:style w:type="paragraph" w:styleId="a5">
    <w:name w:val="footer"/>
    <w:basedOn w:val="a"/>
    <w:link w:val="Char0"/>
    <w:qFormat/>
    <w:rsid w:val="00CC1B37"/>
    <w:pPr>
      <w:tabs>
        <w:tab w:val="center" w:pos="4153"/>
        <w:tab w:val="right" w:pos="8306"/>
      </w:tabs>
    </w:pPr>
    <w:rPr>
      <w:sz w:val="18"/>
      <w:szCs w:val="18"/>
    </w:rPr>
  </w:style>
  <w:style w:type="paragraph" w:styleId="a6">
    <w:name w:val="header"/>
    <w:basedOn w:val="a"/>
    <w:link w:val="Char1"/>
    <w:qFormat/>
    <w:rsid w:val="00CC1B37"/>
    <w:pPr>
      <w:pBdr>
        <w:bottom w:val="single" w:sz="6" w:space="1" w:color="auto"/>
      </w:pBdr>
      <w:tabs>
        <w:tab w:val="center" w:pos="4153"/>
        <w:tab w:val="right" w:pos="8306"/>
      </w:tabs>
      <w:jc w:val="center"/>
    </w:pPr>
    <w:rPr>
      <w:sz w:val="18"/>
      <w:szCs w:val="18"/>
    </w:rPr>
  </w:style>
  <w:style w:type="paragraph" w:styleId="a7">
    <w:name w:val="Normal (Web)"/>
    <w:basedOn w:val="a"/>
    <w:qFormat/>
    <w:rsid w:val="00CC1B37"/>
    <w:pPr>
      <w:spacing w:beforeAutospacing="1" w:after="0" w:afterAutospacing="1"/>
    </w:pPr>
    <w:rPr>
      <w:sz w:val="24"/>
    </w:rPr>
  </w:style>
  <w:style w:type="character" w:styleId="a8">
    <w:name w:val="Hyperlink"/>
    <w:basedOn w:val="a1"/>
    <w:qFormat/>
    <w:rsid w:val="00CC1B37"/>
    <w:rPr>
      <w:color w:val="0000FF"/>
      <w:u w:val="single"/>
    </w:rPr>
  </w:style>
  <w:style w:type="paragraph" w:customStyle="1" w:styleId="5">
    <w:name w:val="标题 5（有编号）（绿盟科技）"/>
    <w:basedOn w:val="a"/>
    <w:next w:val="a9"/>
    <w:uiPriority w:val="99"/>
    <w:qFormat/>
    <w:rsid w:val="00CC1B37"/>
    <w:pPr>
      <w:keepNext/>
      <w:keepLines/>
      <w:numPr>
        <w:ilvl w:val="4"/>
        <w:numId w:val="1"/>
      </w:numPr>
      <w:spacing w:before="280" w:after="156" w:line="377" w:lineRule="auto"/>
      <w:outlineLvl w:val="4"/>
    </w:pPr>
    <w:rPr>
      <w:rFonts w:ascii="Arial" w:eastAsia="黑体" w:hAnsi="Arial" w:cs="Arial"/>
      <w:b/>
      <w:bCs/>
      <w:sz w:val="24"/>
    </w:rPr>
  </w:style>
  <w:style w:type="paragraph" w:customStyle="1" w:styleId="a9">
    <w:name w:val="正文（绿盟科技）"/>
    <w:next w:val="a"/>
    <w:qFormat/>
    <w:rsid w:val="00CC1B37"/>
    <w:pPr>
      <w:spacing w:line="300" w:lineRule="auto"/>
    </w:pPr>
    <w:rPr>
      <w:rFonts w:ascii="Arial" w:hAnsi="Arial" w:cs="黑体"/>
      <w:sz w:val="21"/>
      <w:szCs w:val="21"/>
    </w:rPr>
  </w:style>
  <w:style w:type="paragraph" w:styleId="aa">
    <w:name w:val="List Paragraph"/>
    <w:basedOn w:val="a"/>
    <w:uiPriority w:val="34"/>
    <w:qFormat/>
    <w:rsid w:val="00CC1B37"/>
    <w:pPr>
      <w:ind w:firstLineChars="200" w:firstLine="420"/>
    </w:pPr>
  </w:style>
  <w:style w:type="character" w:customStyle="1" w:styleId="1Char">
    <w:name w:val="标题 1 Char"/>
    <w:link w:val="1"/>
    <w:qFormat/>
    <w:rsid w:val="00CC1B37"/>
    <w:rPr>
      <w:b/>
      <w:kern w:val="44"/>
      <w:sz w:val="44"/>
    </w:rPr>
  </w:style>
  <w:style w:type="character" w:customStyle="1" w:styleId="Char1">
    <w:name w:val="页眉 Char"/>
    <w:basedOn w:val="a1"/>
    <w:link w:val="a6"/>
    <w:qFormat/>
    <w:rsid w:val="00CC1B37"/>
    <w:rPr>
      <w:rFonts w:ascii="Tahoma" w:eastAsia="微软雅黑" w:hAnsi="Tahoma"/>
      <w:sz w:val="18"/>
      <w:szCs w:val="18"/>
    </w:rPr>
  </w:style>
  <w:style w:type="character" w:customStyle="1" w:styleId="Char0">
    <w:name w:val="页脚 Char"/>
    <w:basedOn w:val="a1"/>
    <w:link w:val="a5"/>
    <w:rsid w:val="00CC1B37"/>
    <w:rPr>
      <w:rFonts w:ascii="Tahoma" w:eastAsia="微软雅黑" w:hAnsi="Tahoma"/>
      <w:sz w:val="18"/>
      <w:szCs w:val="18"/>
    </w:rPr>
  </w:style>
  <w:style w:type="character" w:customStyle="1" w:styleId="Char">
    <w:name w:val="批注框文本 Char"/>
    <w:basedOn w:val="a1"/>
    <w:link w:val="a4"/>
    <w:qFormat/>
    <w:rsid w:val="00CC1B37"/>
    <w:rPr>
      <w:rFonts w:ascii="Tahoma" w:eastAsia="微软雅黑" w:hAnsi="Tahoma"/>
      <w:sz w:val="18"/>
      <w:szCs w:val="18"/>
    </w:rPr>
  </w:style>
  <w:style w:type="character" w:customStyle="1" w:styleId="2Char">
    <w:name w:val="标题 2 Char"/>
    <w:basedOn w:val="a1"/>
    <w:link w:val="2"/>
    <w:semiHidden/>
    <w:rsid w:val="00604666"/>
    <w:rPr>
      <w:rFonts w:asciiTheme="majorHAnsi" w:eastAsiaTheme="majorEastAsia" w:hAnsiTheme="majorHAnsi" w:cstheme="majorBidi"/>
      <w:b/>
      <w:bCs/>
      <w:sz w:val="32"/>
      <w:szCs w:val="32"/>
    </w:rPr>
  </w:style>
  <w:style w:type="paragraph" w:styleId="ab">
    <w:name w:val="Normal Indent"/>
    <w:basedOn w:val="a"/>
    <w:link w:val="Char2"/>
    <w:uiPriority w:val="99"/>
    <w:unhideWhenUsed/>
    <w:qFormat/>
    <w:rsid w:val="00604666"/>
    <w:pPr>
      <w:widowControl w:val="0"/>
      <w:adjustRightInd/>
      <w:snapToGrid/>
      <w:spacing w:afterLines="50" w:line="300" w:lineRule="auto"/>
      <w:ind w:firstLineChars="200" w:firstLine="420"/>
      <w:jc w:val="both"/>
    </w:pPr>
    <w:rPr>
      <w:rFonts w:ascii="Times New Roman" w:eastAsia="宋体" w:hAnsi="Times New Roman"/>
      <w:kern w:val="2"/>
      <w:sz w:val="24"/>
      <w:szCs w:val="20"/>
    </w:rPr>
  </w:style>
  <w:style w:type="character" w:customStyle="1" w:styleId="Char2">
    <w:name w:val="正文缩进 Char"/>
    <w:link w:val="ab"/>
    <w:uiPriority w:val="99"/>
    <w:qFormat/>
    <w:rsid w:val="00604666"/>
    <w:rPr>
      <w:kern w:val="2"/>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261</Words>
  <Characters>1492</Characters>
  <Application>Microsoft Office Word</Application>
  <DocSecurity>0</DocSecurity>
  <Lines>12</Lines>
  <Paragraphs>3</Paragraphs>
  <ScaleCrop>false</ScaleCrop>
  <Company/>
  <LinksUpToDate>false</LinksUpToDate>
  <CharactersWithSpaces>1750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RUIFOX</dc:creator>
  <cp:lastModifiedBy>dhc_his</cp:lastModifiedBy>
  <cp:revision>8</cp:revision>
  <dcterms:created xsi:type="dcterms:W3CDTF">2023-09-07T01:22:00Z</dcterms:created>
  <dcterms:modified xsi:type="dcterms:W3CDTF">2023-12-08T03:32:00Z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E215B13023014B7DBC099A0A4E6917B5_13</vt:lpwstr>
  </property>
</Properties>
</file>